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03" w:rsidRDefault="009A1B03" w:rsidP="009A1B03">
      <w:pPr>
        <w:pStyle w:val="Title"/>
        <w:jc w:val="center"/>
        <w:rPr>
          <w:rFonts w:ascii="Arial" w:hAnsi="Arial" w:cs="Arial"/>
          <w:color w:val="auto"/>
        </w:rPr>
      </w:pPr>
    </w:p>
    <w:p w:rsidR="009A1B03" w:rsidRDefault="009A1B03" w:rsidP="009A1B03">
      <w:pPr>
        <w:pStyle w:val="Title"/>
        <w:jc w:val="center"/>
        <w:rPr>
          <w:rFonts w:ascii="Arial" w:hAnsi="Arial" w:cs="Arial"/>
          <w:color w:val="auto"/>
        </w:rPr>
      </w:pPr>
    </w:p>
    <w:p w:rsidR="009A1B03" w:rsidRDefault="009A1B03" w:rsidP="009A1B03">
      <w:pPr>
        <w:pStyle w:val="Title"/>
        <w:jc w:val="center"/>
        <w:rPr>
          <w:rFonts w:ascii="Arial" w:hAnsi="Arial" w:cs="Arial"/>
          <w:color w:val="auto"/>
        </w:rPr>
      </w:pPr>
    </w:p>
    <w:p w:rsidR="009A1B03" w:rsidRPr="00E75A7A" w:rsidRDefault="009A1B03" w:rsidP="009A1B03">
      <w:pPr>
        <w:pStyle w:val="Title"/>
        <w:jc w:val="center"/>
        <w:rPr>
          <w:rFonts w:ascii="Arial" w:hAnsi="Arial" w:cs="Arial"/>
          <w:color w:val="auto"/>
        </w:rPr>
      </w:pPr>
      <w:r>
        <w:rPr>
          <w:rFonts w:ascii="Arial" w:hAnsi="Arial" w:cs="Arial"/>
          <w:color w:val="auto"/>
        </w:rPr>
        <w:t>Central Lincolnshire</w:t>
      </w:r>
    </w:p>
    <w:p w:rsidR="009A1B03" w:rsidRPr="00E75A7A" w:rsidRDefault="009A1B03" w:rsidP="009A1B03">
      <w:pPr>
        <w:pStyle w:val="Title"/>
        <w:jc w:val="center"/>
        <w:rPr>
          <w:rFonts w:ascii="Arial" w:hAnsi="Arial" w:cs="Arial"/>
          <w:color w:val="auto"/>
        </w:rPr>
      </w:pPr>
      <w:r w:rsidRPr="00E75A7A">
        <w:rPr>
          <w:rFonts w:ascii="Arial" w:hAnsi="Arial" w:cs="Arial"/>
          <w:color w:val="auto"/>
        </w:rPr>
        <w:t>Housing and Economic Land Availability Assessment</w:t>
      </w:r>
    </w:p>
    <w:p w:rsidR="009A1B03" w:rsidRDefault="009A1B03" w:rsidP="009A1B03">
      <w:pPr>
        <w:rPr>
          <w:rFonts w:ascii="Arial" w:hAnsi="Arial" w:cs="Arial"/>
        </w:rPr>
      </w:pPr>
    </w:p>
    <w:p w:rsidR="009A1B03" w:rsidRPr="00E75A7A" w:rsidRDefault="009A1B03" w:rsidP="009A1B03">
      <w:pPr>
        <w:rPr>
          <w:rFonts w:ascii="Arial" w:hAnsi="Arial" w:cs="Arial"/>
        </w:rPr>
      </w:pPr>
    </w:p>
    <w:p w:rsidR="009A1B03" w:rsidRDefault="009A1B03" w:rsidP="009A1B03">
      <w:pPr>
        <w:pStyle w:val="Title"/>
        <w:jc w:val="center"/>
        <w:rPr>
          <w:rFonts w:ascii="Arial" w:hAnsi="Arial" w:cs="Arial"/>
          <w:color w:val="auto"/>
          <w:sz w:val="40"/>
          <w:szCs w:val="40"/>
        </w:rPr>
      </w:pPr>
      <w:r>
        <w:rPr>
          <w:rFonts w:ascii="Arial" w:hAnsi="Arial" w:cs="Arial"/>
          <w:color w:val="auto"/>
          <w:sz w:val="40"/>
          <w:szCs w:val="40"/>
        </w:rPr>
        <w:t>March 2020</w:t>
      </w:r>
    </w:p>
    <w:p w:rsidR="009A1B03" w:rsidRDefault="009A1B03" w:rsidP="009A1B03"/>
    <w:p w:rsidR="009A1B03" w:rsidRDefault="009A1B03" w:rsidP="009A1B03"/>
    <w:p w:rsidR="009A1B03" w:rsidRDefault="009A1B03" w:rsidP="009A1B03"/>
    <w:p w:rsidR="009A1B03" w:rsidRDefault="009A1B03" w:rsidP="009A1B03"/>
    <w:p w:rsidR="009A1B03" w:rsidRDefault="009A1B03" w:rsidP="009A1B03"/>
    <w:p w:rsidR="009A1B03" w:rsidRDefault="009A1B03" w:rsidP="009A1B03"/>
    <w:p w:rsidR="009A1B03" w:rsidRDefault="009A1B03" w:rsidP="009A1B03"/>
    <w:p w:rsidR="009A1B03" w:rsidRDefault="009A1B03" w:rsidP="009A1B03"/>
    <w:p w:rsidR="009A1B03" w:rsidRDefault="009A1B03" w:rsidP="009A1B03"/>
    <w:p w:rsidR="009A1B03" w:rsidRPr="009A1B03" w:rsidRDefault="009A1B03" w:rsidP="009A1B03"/>
    <w:p w:rsidR="009A1B03" w:rsidRDefault="009A1B03"/>
    <w:p w:rsidR="009A1B03" w:rsidRDefault="009A1B03"/>
    <w:p w:rsidR="009A1B03" w:rsidRDefault="009A1B03">
      <w:pPr>
        <w:rPr>
          <w:rFonts w:ascii="Arial" w:hAnsi="Arial" w:cs="Arial"/>
          <w:noProof/>
          <w:lang w:eastAsia="en-GB"/>
        </w:rPr>
      </w:pPr>
    </w:p>
    <w:p w:rsidR="009A1B03" w:rsidRDefault="009A1B03">
      <w:pPr>
        <w:rPr>
          <w:rFonts w:ascii="Arial" w:hAnsi="Arial" w:cs="Arial"/>
          <w:noProof/>
          <w:lang w:eastAsia="en-GB"/>
        </w:rPr>
      </w:pPr>
    </w:p>
    <w:p w:rsidR="009A1B03" w:rsidRDefault="009A1B03">
      <w:pPr>
        <w:rPr>
          <w:rFonts w:ascii="Arial" w:hAnsi="Arial" w:cs="Arial"/>
          <w:noProof/>
          <w:lang w:eastAsia="en-GB"/>
        </w:rPr>
      </w:pPr>
      <w:r w:rsidRPr="00E75A7A">
        <w:rPr>
          <w:rFonts w:ascii="Arial" w:hAnsi="Arial" w:cs="Arial"/>
          <w:noProof/>
          <w:lang w:eastAsia="en-GB"/>
        </w:rPr>
        <w:drawing>
          <wp:anchor distT="0" distB="0" distL="114300" distR="114300" simplePos="0" relativeHeight="251658240" behindDoc="1" locked="0" layoutInCell="1" allowOverlap="1">
            <wp:simplePos x="0" y="0"/>
            <wp:positionH relativeFrom="margin">
              <wp:posOffset>1765670</wp:posOffset>
            </wp:positionH>
            <wp:positionV relativeFrom="paragraph">
              <wp:posOffset>156238</wp:posOffset>
            </wp:positionV>
            <wp:extent cx="1955800" cy="133565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800" cy="1335658"/>
                    </a:xfrm>
                    <a:prstGeom prst="rect">
                      <a:avLst/>
                    </a:prstGeom>
                  </pic:spPr>
                </pic:pic>
              </a:graphicData>
            </a:graphic>
            <wp14:sizeRelH relativeFrom="page">
              <wp14:pctWidth>0</wp14:pctWidth>
            </wp14:sizeRelH>
            <wp14:sizeRelV relativeFrom="page">
              <wp14:pctHeight>0</wp14:pctHeight>
            </wp14:sizeRelV>
          </wp:anchor>
        </w:drawing>
      </w:r>
    </w:p>
    <w:p w:rsidR="009A1B03" w:rsidRDefault="009A1B03">
      <w:pPr>
        <w:rPr>
          <w:rFonts w:ascii="Arial" w:hAnsi="Arial" w:cs="Arial"/>
          <w:noProof/>
          <w:lang w:eastAsia="en-GB"/>
        </w:rPr>
      </w:pPr>
    </w:p>
    <w:p w:rsidR="009A1B03" w:rsidRDefault="009A1B03">
      <w:pPr>
        <w:rPr>
          <w:rFonts w:ascii="Arial" w:hAnsi="Arial" w:cs="Arial"/>
          <w:noProof/>
          <w:lang w:eastAsia="en-GB"/>
        </w:rPr>
      </w:pPr>
    </w:p>
    <w:p w:rsidR="009A1B03" w:rsidRDefault="009A1B03">
      <w:pPr>
        <w:rPr>
          <w:rFonts w:ascii="Arial" w:hAnsi="Arial" w:cs="Arial"/>
          <w:noProof/>
          <w:lang w:eastAsia="en-GB"/>
        </w:rPr>
      </w:pPr>
    </w:p>
    <w:p w:rsidR="009A1B03" w:rsidRDefault="009A1B03">
      <w:pPr>
        <w:rPr>
          <w:rFonts w:ascii="Arial" w:hAnsi="Arial" w:cs="Arial"/>
          <w:noProof/>
          <w:lang w:eastAsia="en-GB"/>
        </w:rPr>
      </w:pPr>
    </w:p>
    <w:p w:rsidR="009A1B03" w:rsidRDefault="009A1B03">
      <w:pPr>
        <w:rPr>
          <w:rFonts w:ascii="Arial" w:hAnsi="Arial" w:cs="Arial"/>
          <w:noProof/>
          <w:lang w:eastAsia="en-GB"/>
        </w:rPr>
      </w:pPr>
    </w:p>
    <w:p w:rsidR="009A1B03" w:rsidRPr="00E75A7A" w:rsidRDefault="009A1B03" w:rsidP="009A1B03">
      <w:pPr>
        <w:rPr>
          <w:rFonts w:ascii="Arial" w:hAnsi="Arial" w:cs="Arial"/>
        </w:rPr>
      </w:pPr>
    </w:p>
    <w:p w:rsidR="009A1B03" w:rsidRPr="00E75A7A" w:rsidRDefault="009A1B03" w:rsidP="009A1B03">
      <w:pPr>
        <w:pStyle w:val="TOCHeading"/>
        <w:rPr>
          <w:rFonts w:ascii="Arial" w:hAnsi="Arial" w:cs="Arial"/>
        </w:rPr>
      </w:pPr>
    </w:p>
    <w:sdt>
      <w:sdtPr>
        <w:rPr>
          <w:rFonts w:ascii="Arial" w:eastAsiaTheme="minorEastAsia" w:hAnsi="Arial" w:cs="Arial"/>
          <w:color w:val="auto"/>
          <w:sz w:val="22"/>
          <w:szCs w:val="22"/>
        </w:rPr>
        <w:id w:val="1478337141"/>
        <w:docPartObj>
          <w:docPartGallery w:val="Table of Contents"/>
          <w:docPartUnique/>
        </w:docPartObj>
      </w:sdtPr>
      <w:sdtEndPr>
        <w:rPr>
          <w:b/>
          <w:bCs/>
          <w:noProof/>
        </w:rPr>
      </w:sdtEndPr>
      <w:sdtContent>
        <w:p w:rsidR="009A1B03" w:rsidRDefault="009A1B03" w:rsidP="009A1B03">
          <w:pPr>
            <w:pStyle w:val="TOCHeading"/>
            <w:rPr>
              <w:rFonts w:ascii="Arial" w:hAnsi="Arial" w:cs="Arial"/>
            </w:rPr>
          </w:pPr>
          <w:r w:rsidRPr="00E75A7A">
            <w:rPr>
              <w:rFonts w:ascii="Arial" w:hAnsi="Arial" w:cs="Arial"/>
            </w:rPr>
            <w:t>Contents</w:t>
          </w:r>
        </w:p>
        <w:p w:rsidR="009A1B03" w:rsidRPr="009A1B03" w:rsidRDefault="009A1B03" w:rsidP="009A1B03"/>
        <w:p w:rsidR="009A1B03" w:rsidRDefault="009A1B03" w:rsidP="009A1B03">
          <w:pPr>
            <w:pStyle w:val="TOC1"/>
            <w:tabs>
              <w:tab w:val="left" w:pos="660"/>
              <w:tab w:val="right" w:leader="dot" w:pos="9016"/>
            </w:tabs>
            <w:rPr>
              <w:noProof/>
              <w:lang w:eastAsia="en-GB"/>
            </w:rPr>
          </w:pPr>
          <w:r w:rsidRPr="00E75A7A">
            <w:rPr>
              <w:rFonts w:ascii="Arial" w:hAnsi="Arial" w:cs="Arial"/>
            </w:rPr>
            <w:fldChar w:fldCharType="begin"/>
          </w:r>
          <w:r w:rsidRPr="00E75A7A">
            <w:rPr>
              <w:rFonts w:ascii="Arial" w:hAnsi="Arial" w:cs="Arial"/>
            </w:rPr>
            <w:instrText xml:space="preserve"> TOC \o "1-3" \h \z \u </w:instrText>
          </w:r>
          <w:r w:rsidRPr="00E75A7A">
            <w:rPr>
              <w:rFonts w:ascii="Arial" w:hAnsi="Arial" w:cs="Arial"/>
            </w:rPr>
            <w:fldChar w:fldCharType="separate"/>
          </w:r>
          <w:hyperlink w:anchor="_Toc10209197" w:history="1">
            <w:r w:rsidRPr="001E51D5">
              <w:rPr>
                <w:rStyle w:val="Hyperlink"/>
                <w:rFonts w:ascii="Arial" w:hAnsi="Arial" w:cs="Arial"/>
                <w:noProof/>
                <w:specVanish/>
              </w:rPr>
              <w:t>1.0</w:t>
            </w:r>
            <w:r>
              <w:rPr>
                <w:noProof/>
                <w:lang w:eastAsia="en-GB"/>
              </w:rPr>
              <w:tab/>
            </w:r>
            <w:r w:rsidRPr="001E51D5">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_Toc10209197 \h </w:instrText>
            </w:r>
            <w:r>
              <w:rPr>
                <w:noProof/>
                <w:webHidden/>
              </w:rPr>
            </w:r>
            <w:r>
              <w:rPr>
                <w:noProof/>
                <w:webHidden/>
              </w:rPr>
              <w:fldChar w:fldCharType="separate"/>
            </w:r>
            <w:r w:rsidR="00636B5C">
              <w:rPr>
                <w:noProof/>
                <w:webHidden/>
              </w:rPr>
              <w:t>3</w:t>
            </w:r>
            <w:r>
              <w:rPr>
                <w:noProof/>
                <w:webHidden/>
              </w:rPr>
              <w:fldChar w:fldCharType="end"/>
            </w:r>
          </w:hyperlink>
        </w:p>
        <w:p w:rsidR="009A1B03" w:rsidRDefault="00686729" w:rsidP="009A1B03">
          <w:pPr>
            <w:pStyle w:val="TOC1"/>
            <w:tabs>
              <w:tab w:val="left" w:pos="660"/>
              <w:tab w:val="right" w:leader="dot" w:pos="9016"/>
            </w:tabs>
            <w:rPr>
              <w:noProof/>
              <w:lang w:eastAsia="en-GB"/>
            </w:rPr>
          </w:pPr>
          <w:hyperlink w:anchor="_Toc10209198" w:history="1">
            <w:r w:rsidR="009A1B03" w:rsidRPr="001E51D5">
              <w:rPr>
                <w:rStyle w:val="Hyperlink"/>
                <w:rFonts w:ascii="Arial" w:hAnsi="Arial" w:cs="Arial"/>
                <w:noProof/>
              </w:rPr>
              <w:t>2.0</w:t>
            </w:r>
            <w:r w:rsidR="009A1B03">
              <w:rPr>
                <w:noProof/>
                <w:lang w:eastAsia="en-GB"/>
              </w:rPr>
              <w:tab/>
            </w:r>
            <w:r w:rsidR="009A1B03" w:rsidRPr="001E51D5">
              <w:rPr>
                <w:rStyle w:val="Hyperlink"/>
                <w:rFonts w:ascii="Arial" w:hAnsi="Arial" w:cs="Arial"/>
                <w:noProof/>
              </w:rPr>
              <w:t>National Policy Context</w:t>
            </w:r>
            <w:r w:rsidR="009A1B03">
              <w:rPr>
                <w:noProof/>
                <w:webHidden/>
              </w:rPr>
              <w:tab/>
            </w:r>
            <w:r w:rsidR="009A1B03">
              <w:rPr>
                <w:noProof/>
                <w:webHidden/>
              </w:rPr>
              <w:fldChar w:fldCharType="begin"/>
            </w:r>
            <w:r w:rsidR="009A1B03">
              <w:rPr>
                <w:noProof/>
                <w:webHidden/>
              </w:rPr>
              <w:instrText xml:space="preserve"> PAGEREF _Toc10209198 \h </w:instrText>
            </w:r>
            <w:r w:rsidR="009A1B03">
              <w:rPr>
                <w:noProof/>
                <w:webHidden/>
              </w:rPr>
            </w:r>
            <w:r w:rsidR="009A1B03">
              <w:rPr>
                <w:noProof/>
                <w:webHidden/>
              </w:rPr>
              <w:fldChar w:fldCharType="separate"/>
            </w:r>
            <w:r w:rsidR="00636B5C">
              <w:rPr>
                <w:noProof/>
                <w:webHidden/>
              </w:rPr>
              <w:t>3</w:t>
            </w:r>
            <w:r w:rsidR="009A1B03">
              <w:rPr>
                <w:noProof/>
                <w:webHidden/>
              </w:rPr>
              <w:fldChar w:fldCharType="end"/>
            </w:r>
          </w:hyperlink>
        </w:p>
        <w:p w:rsidR="009A1B03" w:rsidRDefault="00686729" w:rsidP="009A1B03">
          <w:pPr>
            <w:pStyle w:val="TOC1"/>
            <w:tabs>
              <w:tab w:val="left" w:pos="660"/>
              <w:tab w:val="right" w:leader="dot" w:pos="9016"/>
            </w:tabs>
            <w:rPr>
              <w:noProof/>
              <w:lang w:eastAsia="en-GB"/>
            </w:rPr>
          </w:pPr>
          <w:hyperlink w:anchor="_Toc10209199" w:history="1">
            <w:r w:rsidR="009A1B03" w:rsidRPr="001E51D5">
              <w:rPr>
                <w:rStyle w:val="Hyperlink"/>
                <w:rFonts w:ascii="Arial" w:hAnsi="Arial" w:cs="Arial"/>
                <w:noProof/>
              </w:rPr>
              <w:t>3.0</w:t>
            </w:r>
            <w:r w:rsidR="009A1B03">
              <w:rPr>
                <w:noProof/>
                <w:lang w:eastAsia="en-GB"/>
              </w:rPr>
              <w:tab/>
            </w:r>
            <w:r w:rsidR="009A1B03" w:rsidRPr="001E51D5">
              <w:rPr>
                <w:rStyle w:val="Hyperlink"/>
                <w:rFonts w:ascii="Arial" w:hAnsi="Arial" w:cs="Arial"/>
                <w:noProof/>
              </w:rPr>
              <w:t>Local Policy Context</w:t>
            </w:r>
            <w:r w:rsidR="009A1B03">
              <w:rPr>
                <w:noProof/>
                <w:webHidden/>
              </w:rPr>
              <w:tab/>
            </w:r>
            <w:r w:rsidR="009A1B03">
              <w:rPr>
                <w:noProof/>
                <w:webHidden/>
              </w:rPr>
              <w:fldChar w:fldCharType="begin"/>
            </w:r>
            <w:r w:rsidR="009A1B03">
              <w:rPr>
                <w:noProof/>
                <w:webHidden/>
              </w:rPr>
              <w:instrText xml:space="preserve"> PAGEREF _Toc10209199 \h </w:instrText>
            </w:r>
            <w:r w:rsidR="009A1B03">
              <w:rPr>
                <w:noProof/>
                <w:webHidden/>
              </w:rPr>
            </w:r>
            <w:r w:rsidR="009A1B03">
              <w:rPr>
                <w:noProof/>
                <w:webHidden/>
              </w:rPr>
              <w:fldChar w:fldCharType="separate"/>
            </w:r>
            <w:r w:rsidR="00636B5C">
              <w:rPr>
                <w:noProof/>
                <w:webHidden/>
              </w:rPr>
              <w:t>4</w:t>
            </w:r>
            <w:r w:rsidR="009A1B03">
              <w:rPr>
                <w:noProof/>
                <w:webHidden/>
              </w:rPr>
              <w:fldChar w:fldCharType="end"/>
            </w:r>
          </w:hyperlink>
        </w:p>
        <w:p w:rsidR="009A1B03" w:rsidRDefault="00686729" w:rsidP="009A1B03">
          <w:pPr>
            <w:pStyle w:val="TOC1"/>
            <w:tabs>
              <w:tab w:val="left" w:pos="660"/>
              <w:tab w:val="right" w:leader="dot" w:pos="9016"/>
            </w:tabs>
            <w:rPr>
              <w:noProof/>
              <w:lang w:eastAsia="en-GB"/>
            </w:rPr>
          </w:pPr>
          <w:hyperlink w:anchor="_Toc10209200" w:history="1">
            <w:r w:rsidR="009A1B03" w:rsidRPr="001E51D5">
              <w:rPr>
                <w:rStyle w:val="Hyperlink"/>
                <w:rFonts w:ascii="Arial" w:hAnsi="Arial" w:cs="Arial"/>
                <w:noProof/>
              </w:rPr>
              <w:t>4.0</w:t>
            </w:r>
            <w:r w:rsidR="009A1B03">
              <w:rPr>
                <w:noProof/>
                <w:lang w:eastAsia="en-GB"/>
              </w:rPr>
              <w:tab/>
            </w:r>
            <w:r w:rsidR="009A1B03" w:rsidRPr="001E51D5">
              <w:rPr>
                <w:rStyle w:val="Hyperlink"/>
                <w:rFonts w:ascii="Arial" w:hAnsi="Arial" w:cs="Arial"/>
                <w:noProof/>
              </w:rPr>
              <w:t>Methodology</w:t>
            </w:r>
            <w:r w:rsidR="009A1B03">
              <w:rPr>
                <w:noProof/>
                <w:webHidden/>
              </w:rPr>
              <w:tab/>
            </w:r>
          </w:hyperlink>
          <w:r w:rsidR="004A2442">
            <w:rPr>
              <w:noProof/>
            </w:rPr>
            <w:t>4</w:t>
          </w:r>
        </w:p>
        <w:p w:rsidR="009A1B03" w:rsidRDefault="00686729" w:rsidP="009A1B03">
          <w:pPr>
            <w:pStyle w:val="TOC1"/>
            <w:tabs>
              <w:tab w:val="left" w:pos="660"/>
              <w:tab w:val="right" w:leader="dot" w:pos="9016"/>
            </w:tabs>
            <w:rPr>
              <w:noProof/>
            </w:rPr>
          </w:pPr>
          <w:hyperlink w:anchor="_Toc10209201" w:history="1">
            <w:r w:rsidR="009A1B03" w:rsidRPr="001E51D5">
              <w:rPr>
                <w:rStyle w:val="Hyperlink"/>
                <w:rFonts w:ascii="Arial" w:hAnsi="Arial" w:cs="Arial"/>
                <w:noProof/>
              </w:rPr>
              <w:t>5.0</w:t>
            </w:r>
            <w:r w:rsidR="009A1B03">
              <w:rPr>
                <w:noProof/>
                <w:lang w:eastAsia="en-GB"/>
              </w:rPr>
              <w:tab/>
            </w:r>
            <w:r w:rsidR="009A1B03" w:rsidRPr="001E51D5">
              <w:rPr>
                <w:rStyle w:val="Hyperlink"/>
                <w:rFonts w:ascii="Arial" w:hAnsi="Arial" w:cs="Arial"/>
                <w:noProof/>
              </w:rPr>
              <w:t>Conclusion</w:t>
            </w:r>
            <w:r w:rsidR="009A1B03">
              <w:rPr>
                <w:noProof/>
                <w:webHidden/>
              </w:rPr>
              <w:tab/>
            </w:r>
            <w:r w:rsidR="009A1B03">
              <w:rPr>
                <w:noProof/>
                <w:webHidden/>
              </w:rPr>
              <w:fldChar w:fldCharType="begin"/>
            </w:r>
            <w:r w:rsidR="009A1B03">
              <w:rPr>
                <w:noProof/>
                <w:webHidden/>
              </w:rPr>
              <w:instrText xml:space="preserve"> PAGEREF _Toc10209201 \h </w:instrText>
            </w:r>
            <w:r w:rsidR="009A1B03">
              <w:rPr>
                <w:noProof/>
                <w:webHidden/>
              </w:rPr>
            </w:r>
            <w:r w:rsidR="009A1B03">
              <w:rPr>
                <w:noProof/>
                <w:webHidden/>
              </w:rPr>
              <w:fldChar w:fldCharType="separate"/>
            </w:r>
            <w:r w:rsidR="00636B5C">
              <w:rPr>
                <w:noProof/>
                <w:webHidden/>
              </w:rPr>
              <w:t>9</w:t>
            </w:r>
            <w:r w:rsidR="009A1B03">
              <w:rPr>
                <w:noProof/>
                <w:webHidden/>
              </w:rPr>
              <w:fldChar w:fldCharType="end"/>
            </w:r>
          </w:hyperlink>
        </w:p>
        <w:p w:rsidR="004A2442" w:rsidRPr="004A2442" w:rsidRDefault="004A2442" w:rsidP="004A2442"/>
        <w:p w:rsidR="009A1B03" w:rsidRPr="00E75A7A" w:rsidRDefault="009A1B03" w:rsidP="009A1B03">
          <w:pPr>
            <w:rPr>
              <w:rFonts w:ascii="Arial" w:hAnsi="Arial" w:cs="Arial"/>
            </w:rPr>
          </w:pPr>
          <w:r w:rsidRPr="00E75A7A">
            <w:rPr>
              <w:rFonts w:ascii="Arial" w:hAnsi="Arial" w:cs="Arial"/>
              <w:b/>
              <w:bCs/>
              <w:noProof/>
              <w:lang w:val="en-US"/>
            </w:rPr>
            <w:fldChar w:fldCharType="end"/>
          </w:r>
        </w:p>
      </w:sdtContent>
    </w:sdt>
    <w:p w:rsidR="009A1B03" w:rsidRPr="00E75A7A" w:rsidRDefault="009A1B03" w:rsidP="009A1B03">
      <w:pPr>
        <w:rPr>
          <w:rFonts w:ascii="Arial" w:hAnsi="Arial" w:cs="Arial"/>
        </w:rPr>
      </w:pPr>
    </w:p>
    <w:p w:rsidR="009A1B03" w:rsidRDefault="009A1B03" w:rsidP="009A1B03">
      <w:pPr>
        <w:rPr>
          <w:rFonts w:ascii="Arial" w:hAnsi="Arial" w:cs="Arial"/>
          <w:color w:val="2E74B5" w:themeColor="accent1" w:themeShade="BF"/>
          <w:sz w:val="28"/>
          <w:szCs w:val="28"/>
        </w:rPr>
      </w:pPr>
      <w:r w:rsidRPr="00917BFA">
        <w:rPr>
          <w:rFonts w:ascii="Arial" w:hAnsi="Arial" w:cs="Arial"/>
          <w:color w:val="2E74B5" w:themeColor="accent1" w:themeShade="BF"/>
          <w:sz w:val="28"/>
          <w:szCs w:val="28"/>
        </w:rPr>
        <w:t>Appendices</w:t>
      </w:r>
    </w:p>
    <w:p w:rsidR="009A1B03" w:rsidRPr="00522AF7" w:rsidRDefault="009A1B03" w:rsidP="009A1B03">
      <w:pPr>
        <w:rPr>
          <w:rFonts w:ascii="Arial" w:hAnsi="Arial" w:cs="Arial"/>
          <w:highlight w:val="yellow"/>
        </w:rPr>
      </w:pPr>
      <w:r w:rsidRPr="00522AF7">
        <w:rPr>
          <w:rFonts w:ascii="Arial" w:hAnsi="Arial" w:cs="Arial"/>
        </w:rPr>
        <w:t>A</w:t>
      </w:r>
      <w:r w:rsidRPr="00522AF7">
        <w:rPr>
          <w:rFonts w:ascii="Arial" w:hAnsi="Arial" w:cs="Arial"/>
        </w:rPr>
        <w:tab/>
        <w:t>Datasets used for constraint check</w:t>
      </w:r>
    </w:p>
    <w:p w:rsidR="009A1B03" w:rsidRPr="00522AF7" w:rsidRDefault="009A1B03" w:rsidP="009A1B03">
      <w:pPr>
        <w:rPr>
          <w:rFonts w:ascii="Arial" w:hAnsi="Arial" w:cs="Arial"/>
        </w:rPr>
      </w:pPr>
      <w:r w:rsidRPr="00522AF7">
        <w:rPr>
          <w:rFonts w:ascii="Arial" w:hAnsi="Arial" w:cs="Arial"/>
        </w:rPr>
        <w:t>B</w:t>
      </w:r>
      <w:r w:rsidR="00522AF7" w:rsidRPr="00522AF7">
        <w:rPr>
          <w:rFonts w:ascii="Arial" w:hAnsi="Arial" w:cs="Arial"/>
        </w:rPr>
        <w:tab/>
        <w:t>Sites submitted that do not meet the threshold</w:t>
      </w:r>
    </w:p>
    <w:p w:rsidR="009A1B03" w:rsidRPr="00522AF7" w:rsidRDefault="009A1B03" w:rsidP="009A1B03">
      <w:pPr>
        <w:rPr>
          <w:rFonts w:ascii="Arial" w:hAnsi="Arial" w:cs="Arial"/>
        </w:rPr>
      </w:pPr>
      <w:r w:rsidRPr="00522AF7">
        <w:rPr>
          <w:rFonts w:ascii="Arial" w:hAnsi="Arial" w:cs="Arial"/>
        </w:rPr>
        <w:t>C</w:t>
      </w:r>
      <w:r w:rsidR="00522AF7" w:rsidRPr="00522AF7">
        <w:rPr>
          <w:rFonts w:ascii="Arial" w:hAnsi="Arial" w:cs="Arial"/>
        </w:rPr>
        <w:tab/>
        <w:t>Site Assessment Details – City of Lincoln</w:t>
      </w:r>
    </w:p>
    <w:p w:rsidR="009A1B03" w:rsidRPr="00522AF7" w:rsidRDefault="009A1B03" w:rsidP="009A1B03">
      <w:pPr>
        <w:rPr>
          <w:rFonts w:ascii="Arial" w:hAnsi="Arial" w:cs="Arial"/>
        </w:rPr>
      </w:pPr>
      <w:r w:rsidRPr="00522AF7">
        <w:rPr>
          <w:rFonts w:ascii="Arial" w:hAnsi="Arial" w:cs="Arial"/>
        </w:rPr>
        <w:t>D</w:t>
      </w:r>
      <w:r w:rsidRPr="00522AF7">
        <w:rPr>
          <w:rFonts w:ascii="Arial" w:hAnsi="Arial" w:cs="Arial"/>
        </w:rPr>
        <w:tab/>
        <w:t xml:space="preserve">Sites </w:t>
      </w:r>
      <w:r w:rsidR="00522AF7" w:rsidRPr="00522AF7">
        <w:rPr>
          <w:rFonts w:ascii="Arial" w:hAnsi="Arial" w:cs="Arial"/>
        </w:rPr>
        <w:t xml:space="preserve">Assessment Details – North </w:t>
      </w:r>
      <w:proofErr w:type="spellStart"/>
      <w:r w:rsidR="00522AF7" w:rsidRPr="00522AF7">
        <w:rPr>
          <w:rFonts w:ascii="Arial" w:hAnsi="Arial" w:cs="Arial"/>
        </w:rPr>
        <w:t>Kesteven</w:t>
      </w:r>
      <w:proofErr w:type="spellEnd"/>
      <w:r w:rsidR="00522AF7" w:rsidRPr="00522AF7">
        <w:rPr>
          <w:rFonts w:ascii="Arial" w:hAnsi="Arial" w:cs="Arial"/>
        </w:rPr>
        <w:t xml:space="preserve"> District </w:t>
      </w:r>
    </w:p>
    <w:p w:rsidR="009A1B03" w:rsidRDefault="009A1B03" w:rsidP="009A1B03">
      <w:pPr>
        <w:rPr>
          <w:rFonts w:ascii="Arial" w:hAnsi="Arial" w:cs="Arial"/>
        </w:rPr>
      </w:pPr>
      <w:r w:rsidRPr="00522AF7">
        <w:rPr>
          <w:rFonts w:ascii="Arial" w:hAnsi="Arial" w:cs="Arial"/>
        </w:rPr>
        <w:t>E</w:t>
      </w:r>
      <w:r w:rsidR="00522AF7" w:rsidRPr="00522AF7">
        <w:rPr>
          <w:rFonts w:ascii="Arial" w:hAnsi="Arial" w:cs="Arial"/>
        </w:rPr>
        <w:tab/>
        <w:t xml:space="preserve">Site Assessment Details – West </w:t>
      </w:r>
      <w:r w:rsidR="00522AF7">
        <w:rPr>
          <w:rFonts w:ascii="Arial" w:hAnsi="Arial" w:cs="Arial"/>
        </w:rPr>
        <w:t>Lindsey District</w:t>
      </w:r>
    </w:p>
    <w:p w:rsidR="00922B5E" w:rsidRDefault="00922B5E" w:rsidP="009A1B03">
      <w:pPr>
        <w:rPr>
          <w:rFonts w:ascii="Arial" w:hAnsi="Arial" w:cs="Arial"/>
        </w:rPr>
      </w:pPr>
    </w:p>
    <w:p w:rsidR="00922B5E" w:rsidRPr="00E75A7A" w:rsidRDefault="00922B5E" w:rsidP="009A1B03">
      <w:pPr>
        <w:rPr>
          <w:rFonts w:ascii="Arial" w:hAnsi="Arial" w:cs="Arial"/>
        </w:rPr>
      </w:pPr>
      <w:r>
        <w:rPr>
          <w:rFonts w:ascii="Arial" w:hAnsi="Arial" w:cs="Arial"/>
        </w:rPr>
        <w:t>(Please note appendices C, D and E are separate to this document)</w:t>
      </w: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rPr>
          <w:rFonts w:ascii="Arial" w:hAnsi="Arial" w:cs="Arial"/>
        </w:rPr>
      </w:pPr>
    </w:p>
    <w:p w:rsidR="009A1B03" w:rsidRPr="00E75A7A" w:rsidRDefault="009A1B03" w:rsidP="009A1B03">
      <w:pPr>
        <w:pStyle w:val="Heading1"/>
        <w:numPr>
          <w:ilvl w:val="0"/>
          <w:numId w:val="1"/>
        </w:numPr>
        <w:rPr>
          <w:rFonts w:ascii="Arial" w:hAnsi="Arial" w:cs="Arial"/>
          <w:vanish/>
          <w:specVanish/>
        </w:rPr>
      </w:pPr>
      <w:bookmarkStart w:id="0" w:name="_Toc10209197"/>
      <w:r w:rsidRPr="00E75A7A">
        <w:rPr>
          <w:rFonts w:ascii="Arial" w:hAnsi="Arial" w:cs="Arial"/>
        </w:rPr>
        <w:t>Introduction</w:t>
      </w:r>
      <w:bookmarkEnd w:id="0"/>
    </w:p>
    <w:p w:rsidR="009A1B03" w:rsidRPr="00E75A7A" w:rsidRDefault="009A1B03" w:rsidP="009A1B03">
      <w:pPr>
        <w:rPr>
          <w:rFonts w:ascii="Arial" w:hAnsi="Arial" w:cs="Arial"/>
          <w:b/>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The National Planning Policy Framework (NPPF) sets out a requirement for Local Authorities to maintain an adequate supply of housing sites in their area</w:t>
      </w:r>
      <w:r w:rsidRPr="00E75A7A">
        <w:rPr>
          <w:rStyle w:val="FootnoteReference"/>
          <w:rFonts w:ascii="Arial" w:hAnsi="Arial" w:cs="Arial"/>
        </w:rPr>
        <w:footnoteReference w:id="1"/>
      </w:r>
      <w:r w:rsidRPr="00E75A7A">
        <w:rPr>
          <w:rFonts w:ascii="Arial" w:hAnsi="Arial" w:cs="Arial"/>
        </w:rPr>
        <w:t xml:space="preserve">. The Planning Practice Guidance (PPG) identifies a methodology for carrying out a Housing and Economic Land Availability Assessment (HELAA) which is the technical study that provides the evidence base in order to assess land availability for suitable, available and achievable sites for housing and economic development. The HELAA </w:t>
      </w:r>
      <w:r w:rsidR="00DB187B">
        <w:rPr>
          <w:rFonts w:ascii="Arial" w:hAnsi="Arial" w:cs="Arial"/>
        </w:rPr>
        <w:t>‘is an important source of evidence to inform plan-making and decision-taking, and the identification of a 5-year supply of housing land</w:t>
      </w:r>
      <w:r w:rsidRPr="00E75A7A">
        <w:rPr>
          <w:rFonts w:ascii="Arial" w:hAnsi="Arial" w:cs="Arial"/>
        </w:rPr>
        <w:t>’</w:t>
      </w:r>
      <w:r w:rsidRPr="00E75A7A">
        <w:rPr>
          <w:rStyle w:val="FootnoteReference"/>
          <w:rFonts w:ascii="Arial" w:hAnsi="Arial" w:cs="Arial"/>
        </w:rPr>
        <w:footnoteReference w:id="2"/>
      </w:r>
      <w:r w:rsidRPr="00E75A7A">
        <w:rPr>
          <w:rFonts w:ascii="Arial" w:hAnsi="Arial" w:cs="Arial"/>
        </w:rPr>
        <w:t>.</w:t>
      </w:r>
    </w:p>
    <w:p w:rsidR="009A1B03" w:rsidRPr="00E75A7A"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It is important to note that the HELAA is a technical study and </w:t>
      </w:r>
      <w:r w:rsidR="007F6A0E">
        <w:rPr>
          <w:rFonts w:ascii="Arial" w:hAnsi="Arial" w:cs="Arial"/>
        </w:rPr>
        <w:t>its role is to provide information on a range of sites, including the</w:t>
      </w:r>
      <w:r w:rsidRPr="00E75A7A">
        <w:rPr>
          <w:rFonts w:ascii="Arial" w:hAnsi="Arial" w:cs="Arial"/>
        </w:rPr>
        <w:t xml:space="preserve"> suitability, availability and achievability of land for development. The HELAA does not determine which sites should be allocated through the Local Plan but it does provide an important evidence base about a wide range of sites. The HELAA does not alter any existing policies or designations and is not a statement of policy. The HELAA assessment is based on an objective and consistent methodology which seeks to capture information on constraints as they are at a certain point in time.</w:t>
      </w:r>
    </w:p>
    <w:p w:rsidR="009A1B03" w:rsidRPr="00E75A7A" w:rsidRDefault="009A1B03" w:rsidP="009A1B03">
      <w:pPr>
        <w:pStyle w:val="ListParagraph"/>
        <w:rPr>
          <w:rFonts w:ascii="Arial" w:hAnsi="Arial" w:cs="Arial"/>
        </w:rPr>
      </w:pPr>
    </w:p>
    <w:p w:rsidR="009A1B03" w:rsidRPr="00E75A7A" w:rsidRDefault="009A1B03" w:rsidP="009A1B03">
      <w:pPr>
        <w:pStyle w:val="Heading1"/>
        <w:numPr>
          <w:ilvl w:val="0"/>
          <w:numId w:val="1"/>
        </w:numPr>
        <w:rPr>
          <w:rFonts w:ascii="Arial" w:hAnsi="Arial" w:cs="Arial"/>
        </w:rPr>
      </w:pPr>
      <w:bookmarkStart w:id="1" w:name="_Toc10209198"/>
      <w:r w:rsidRPr="00E75A7A">
        <w:rPr>
          <w:rFonts w:ascii="Arial" w:hAnsi="Arial" w:cs="Arial"/>
        </w:rPr>
        <w:t>National Policy Context</w:t>
      </w:r>
      <w:bookmarkEnd w:id="1"/>
      <w:r w:rsidRPr="00E75A7A">
        <w:rPr>
          <w:rFonts w:ascii="Arial" w:hAnsi="Arial" w:cs="Arial"/>
        </w:rPr>
        <w:br/>
      </w: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The NPPF </w:t>
      </w:r>
      <w:r>
        <w:rPr>
          <w:rFonts w:ascii="Arial" w:hAnsi="Arial" w:cs="Arial"/>
        </w:rPr>
        <w:t xml:space="preserve">underwent substantial revision and was </w:t>
      </w:r>
      <w:r w:rsidRPr="00E75A7A">
        <w:rPr>
          <w:rFonts w:ascii="Arial" w:hAnsi="Arial" w:cs="Arial"/>
        </w:rPr>
        <w:t>published in July 2018</w:t>
      </w:r>
      <w:r>
        <w:rPr>
          <w:rFonts w:ascii="Arial" w:hAnsi="Arial" w:cs="Arial"/>
        </w:rPr>
        <w:t xml:space="preserve"> (with further minor updates in February 2019)</w:t>
      </w:r>
      <w:r w:rsidRPr="00E75A7A">
        <w:rPr>
          <w:rFonts w:ascii="Arial" w:hAnsi="Arial" w:cs="Arial"/>
        </w:rPr>
        <w:t xml:space="preserve"> and continues to set out the Government’s planning policy framework for England. The </w:t>
      </w:r>
      <w:r>
        <w:rPr>
          <w:rFonts w:ascii="Arial" w:hAnsi="Arial" w:cs="Arial"/>
        </w:rPr>
        <w:t xml:space="preserve">delivery of </w:t>
      </w:r>
      <w:r w:rsidRPr="00E75A7A">
        <w:rPr>
          <w:rFonts w:ascii="Arial" w:hAnsi="Arial" w:cs="Arial"/>
        </w:rPr>
        <w:t>sustainable development and the three overarching objectives of economic, social and environmental factors remains at the heart of national planning policy.</w:t>
      </w:r>
    </w:p>
    <w:p w:rsidR="009A1B03" w:rsidRPr="00E75A7A"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The preparation of</w:t>
      </w:r>
      <w:r w:rsidR="007F6A0E">
        <w:rPr>
          <w:rFonts w:ascii="Arial" w:hAnsi="Arial" w:cs="Arial"/>
        </w:rPr>
        <w:t xml:space="preserve"> an</w:t>
      </w:r>
      <w:r w:rsidRPr="00E75A7A">
        <w:rPr>
          <w:rFonts w:ascii="Arial" w:hAnsi="Arial" w:cs="Arial"/>
        </w:rPr>
        <w:t xml:space="preserve"> evidence base to identify an up to date land supply in order to inform the development of the local plan </w:t>
      </w:r>
      <w:r>
        <w:rPr>
          <w:rFonts w:ascii="Arial" w:hAnsi="Arial" w:cs="Arial"/>
        </w:rPr>
        <w:t xml:space="preserve">is required in the </w:t>
      </w:r>
      <w:r w:rsidRPr="00E75A7A">
        <w:rPr>
          <w:rFonts w:ascii="Arial" w:hAnsi="Arial" w:cs="Arial"/>
        </w:rPr>
        <w:t xml:space="preserve">NPPF. Paragraph 67 of the NPPF sets out that ‘strategic policy making authorities should have a clear understanding of the land available in their area through the preparation of a strategic housing land availability assessment’.  </w:t>
      </w:r>
    </w:p>
    <w:p w:rsidR="009A1B03" w:rsidRPr="00E75A7A" w:rsidRDefault="009A1B03" w:rsidP="009A1B03">
      <w:pPr>
        <w:pStyle w:val="ListParagraph"/>
        <w:rPr>
          <w:rFonts w:ascii="Arial" w:hAnsi="Arial" w:cs="Arial"/>
        </w:rPr>
      </w:pPr>
    </w:p>
    <w:p w:rsidR="009A1B03"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In order to assist in interpreting and applying the NPPF, the Government produced the Planning Practice Guidance (PPG) in 2014 and </w:t>
      </w:r>
      <w:r>
        <w:rPr>
          <w:rFonts w:ascii="Arial" w:hAnsi="Arial" w:cs="Arial"/>
        </w:rPr>
        <w:t>provides a live source of guidance updated regularly by Government</w:t>
      </w:r>
      <w:r w:rsidRPr="00E75A7A">
        <w:rPr>
          <w:rFonts w:ascii="Arial" w:hAnsi="Arial" w:cs="Arial"/>
        </w:rPr>
        <w:t>. The PPG identifies th</w:t>
      </w:r>
      <w:r w:rsidR="0005777C">
        <w:rPr>
          <w:rFonts w:ascii="Arial" w:hAnsi="Arial" w:cs="Arial"/>
        </w:rPr>
        <w:t>at ‘plan-making authorities may carry out land availability assessments for housing and economic development as part of the same exercise, in order that sites may be identified for the use(s) which is most appropriate</w:t>
      </w:r>
      <w:r w:rsidRPr="00E75A7A">
        <w:rPr>
          <w:rFonts w:ascii="Arial" w:hAnsi="Arial" w:cs="Arial"/>
        </w:rPr>
        <w:t>’</w:t>
      </w:r>
      <w:r w:rsidRPr="00E75A7A">
        <w:rPr>
          <w:rStyle w:val="FootnoteReference"/>
          <w:rFonts w:ascii="Arial" w:hAnsi="Arial" w:cs="Arial"/>
        </w:rPr>
        <w:footnoteReference w:id="3"/>
      </w:r>
      <w:r w:rsidRPr="00E75A7A">
        <w:rPr>
          <w:rFonts w:ascii="Arial" w:hAnsi="Arial" w:cs="Arial"/>
        </w:rPr>
        <w:t>. All sites are included in the Cent</w:t>
      </w:r>
      <w:r w:rsidR="0005777C">
        <w:rPr>
          <w:rFonts w:ascii="Arial" w:hAnsi="Arial" w:cs="Arial"/>
        </w:rPr>
        <w:t>ral Lincolnshire HELAA March 2020</w:t>
      </w:r>
      <w:r w:rsidRPr="00E75A7A">
        <w:rPr>
          <w:rFonts w:ascii="Arial" w:hAnsi="Arial" w:cs="Arial"/>
        </w:rPr>
        <w:t>, regardless of what use they have been promoted for by the landowner/ agent.</w:t>
      </w:r>
    </w:p>
    <w:p w:rsidR="009A1B03" w:rsidRPr="00A47FBD" w:rsidRDefault="009A1B03" w:rsidP="009A1B03">
      <w:pPr>
        <w:pStyle w:val="ListParagraph"/>
        <w:rPr>
          <w:rFonts w:ascii="Arial" w:hAnsi="Arial" w:cs="Arial"/>
        </w:rPr>
      </w:pPr>
    </w:p>
    <w:p w:rsidR="009A1B03" w:rsidRDefault="009A1B03" w:rsidP="009A1B03">
      <w:pPr>
        <w:pStyle w:val="ListParagraph"/>
        <w:ind w:left="709"/>
        <w:rPr>
          <w:rFonts w:ascii="Arial" w:hAnsi="Arial" w:cs="Arial"/>
        </w:rPr>
      </w:pPr>
    </w:p>
    <w:p w:rsidR="004A2442" w:rsidRPr="00E75A7A" w:rsidRDefault="004A2442" w:rsidP="009A1B03">
      <w:pPr>
        <w:pStyle w:val="ListParagraph"/>
        <w:ind w:left="709"/>
        <w:rPr>
          <w:rFonts w:ascii="Arial" w:hAnsi="Arial" w:cs="Arial"/>
        </w:rPr>
      </w:pPr>
    </w:p>
    <w:p w:rsidR="009A1B03" w:rsidRPr="00E75A7A" w:rsidRDefault="009A1B03" w:rsidP="009A1B03">
      <w:pPr>
        <w:pStyle w:val="Heading1"/>
        <w:numPr>
          <w:ilvl w:val="0"/>
          <w:numId w:val="1"/>
        </w:numPr>
        <w:rPr>
          <w:rFonts w:ascii="Arial" w:hAnsi="Arial" w:cs="Arial"/>
        </w:rPr>
      </w:pPr>
      <w:bookmarkStart w:id="2" w:name="_Toc10209199"/>
      <w:r w:rsidRPr="00E75A7A">
        <w:rPr>
          <w:rFonts w:ascii="Arial" w:hAnsi="Arial" w:cs="Arial"/>
        </w:rPr>
        <w:t>Local Policy Context</w:t>
      </w:r>
      <w:bookmarkEnd w:id="2"/>
    </w:p>
    <w:p w:rsidR="009A1B03" w:rsidRPr="00E75A7A" w:rsidRDefault="009A1B03" w:rsidP="009A1B03">
      <w:pPr>
        <w:pStyle w:val="ListParagraph"/>
        <w:ind w:left="370"/>
        <w:rPr>
          <w:rFonts w:ascii="Arial" w:hAnsi="Arial" w:cs="Arial"/>
        </w:rPr>
      </w:pPr>
    </w:p>
    <w:p w:rsidR="009A1B03"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The first Central Lincolnshire Local Plan was adopted in April 2017. Central Lincolnshire is a joint planning unit responsible for plan making </w:t>
      </w:r>
      <w:r>
        <w:rPr>
          <w:rFonts w:ascii="Arial" w:hAnsi="Arial" w:cs="Arial"/>
        </w:rPr>
        <w:t xml:space="preserve">across </w:t>
      </w:r>
      <w:r w:rsidR="006256CE">
        <w:rPr>
          <w:rFonts w:ascii="Arial" w:hAnsi="Arial" w:cs="Arial"/>
        </w:rPr>
        <w:t>three local authority areas</w:t>
      </w:r>
      <w:r w:rsidRPr="00E75A7A">
        <w:rPr>
          <w:rFonts w:ascii="Arial" w:hAnsi="Arial" w:cs="Arial"/>
        </w:rPr>
        <w:t xml:space="preserve">, including City of Lincoln Council, North </w:t>
      </w:r>
      <w:proofErr w:type="spellStart"/>
      <w:r w:rsidRPr="00E75A7A">
        <w:rPr>
          <w:rFonts w:ascii="Arial" w:hAnsi="Arial" w:cs="Arial"/>
        </w:rPr>
        <w:t>Kesteven</w:t>
      </w:r>
      <w:proofErr w:type="spellEnd"/>
      <w:r w:rsidRPr="00E75A7A">
        <w:rPr>
          <w:rFonts w:ascii="Arial" w:hAnsi="Arial" w:cs="Arial"/>
        </w:rPr>
        <w:t xml:space="preserve"> District Council and West Lindsey District Council. </w:t>
      </w:r>
    </w:p>
    <w:p w:rsidR="009A1B03"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Pr>
          <w:rFonts w:ascii="Arial" w:hAnsi="Arial" w:cs="Arial"/>
        </w:rPr>
        <w:t xml:space="preserve">In January 2019 the decision was taken to </w:t>
      </w:r>
      <w:r w:rsidRPr="00E75A7A">
        <w:rPr>
          <w:rFonts w:ascii="Arial" w:hAnsi="Arial" w:cs="Arial"/>
        </w:rPr>
        <w:t>review the adopted Local Plan in order to respond to the changes published in the revised NPPF in July 2018</w:t>
      </w:r>
      <w:r>
        <w:rPr>
          <w:rFonts w:ascii="Arial" w:hAnsi="Arial" w:cs="Arial"/>
        </w:rPr>
        <w:t xml:space="preserve"> and to address land supply in Central Lincolnshire</w:t>
      </w:r>
      <w:r w:rsidRPr="00E75A7A">
        <w:rPr>
          <w:rFonts w:ascii="Arial" w:hAnsi="Arial" w:cs="Arial"/>
        </w:rPr>
        <w:t>.</w:t>
      </w:r>
    </w:p>
    <w:p w:rsidR="009A1B03" w:rsidRPr="00E75A7A"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The last assessment of land supply (SHLAA) was published in July 2015 and was a key piece of evidence that informed the preparation of the current </w:t>
      </w:r>
      <w:r>
        <w:rPr>
          <w:rFonts w:ascii="Arial" w:hAnsi="Arial" w:cs="Arial"/>
        </w:rPr>
        <w:t xml:space="preserve">2017 </w:t>
      </w:r>
      <w:r w:rsidRPr="00E75A7A">
        <w:rPr>
          <w:rFonts w:ascii="Arial" w:hAnsi="Arial" w:cs="Arial"/>
        </w:rPr>
        <w:t>Local Plan. This HELAA has been prepared to revisit the sites identified in 2015 to make sure that only sites that are available and are being actively promoted through the HELAA process are included moving forward.</w:t>
      </w:r>
    </w:p>
    <w:p w:rsidR="009A1B03" w:rsidRPr="00E75A7A" w:rsidRDefault="009A1B03" w:rsidP="009A1B03">
      <w:pPr>
        <w:pStyle w:val="ListParagraph"/>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Pr>
          <w:rFonts w:ascii="Arial" w:hAnsi="Arial" w:cs="Arial"/>
        </w:rPr>
        <w:t xml:space="preserve">Owners and promoters of </w:t>
      </w:r>
      <w:r w:rsidRPr="00E75A7A">
        <w:rPr>
          <w:rFonts w:ascii="Arial" w:hAnsi="Arial" w:cs="Arial"/>
        </w:rPr>
        <w:t>sites</w:t>
      </w:r>
      <w:r>
        <w:rPr>
          <w:rFonts w:ascii="Arial" w:hAnsi="Arial" w:cs="Arial"/>
        </w:rPr>
        <w:t xml:space="preserve"> that were in the Central Lincolnshire sites</w:t>
      </w:r>
      <w:r w:rsidRPr="00E75A7A">
        <w:rPr>
          <w:rFonts w:ascii="Arial" w:hAnsi="Arial" w:cs="Arial"/>
        </w:rPr>
        <w:t xml:space="preserve"> database </w:t>
      </w:r>
      <w:r>
        <w:rPr>
          <w:rFonts w:ascii="Arial" w:hAnsi="Arial" w:cs="Arial"/>
        </w:rPr>
        <w:t xml:space="preserve">were consulted </w:t>
      </w:r>
      <w:r w:rsidRPr="00E75A7A">
        <w:rPr>
          <w:rFonts w:ascii="Arial" w:hAnsi="Arial" w:cs="Arial"/>
        </w:rPr>
        <w:t xml:space="preserve">between February and March 2019 </w:t>
      </w:r>
      <w:r>
        <w:rPr>
          <w:rFonts w:ascii="Arial" w:hAnsi="Arial" w:cs="Arial"/>
        </w:rPr>
        <w:t xml:space="preserve">with </w:t>
      </w:r>
      <w:r w:rsidRPr="00E75A7A">
        <w:rPr>
          <w:rFonts w:ascii="Arial" w:hAnsi="Arial" w:cs="Arial"/>
        </w:rPr>
        <w:t xml:space="preserve">a new site suggestion form </w:t>
      </w:r>
      <w:r>
        <w:rPr>
          <w:rFonts w:ascii="Arial" w:hAnsi="Arial" w:cs="Arial"/>
        </w:rPr>
        <w:t xml:space="preserve">to confirm the ongoing suitability and availability of their sites for development.  </w:t>
      </w:r>
      <w:r w:rsidRPr="00E75A7A">
        <w:rPr>
          <w:rFonts w:ascii="Arial" w:hAnsi="Arial" w:cs="Arial"/>
        </w:rPr>
        <w:t xml:space="preserve">The form </w:t>
      </w:r>
      <w:r>
        <w:rPr>
          <w:rFonts w:ascii="Arial" w:hAnsi="Arial" w:cs="Arial"/>
        </w:rPr>
        <w:t xml:space="preserve">sent out </w:t>
      </w:r>
      <w:r w:rsidRPr="00E75A7A">
        <w:rPr>
          <w:rFonts w:ascii="Arial" w:hAnsi="Arial" w:cs="Arial"/>
        </w:rPr>
        <w:t>request</w:t>
      </w:r>
      <w:r>
        <w:rPr>
          <w:rFonts w:ascii="Arial" w:hAnsi="Arial" w:cs="Arial"/>
        </w:rPr>
        <w:t>ed</w:t>
      </w:r>
      <w:r w:rsidRPr="00E75A7A">
        <w:rPr>
          <w:rFonts w:ascii="Arial" w:hAnsi="Arial" w:cs="Arial"/>
        </w:rPr>
        <w:t xml:space="preserve"> a wide range of information including details about the deliverability of sites. An interactive map was provided on the Central Lincolnshire Local Plan website where those contacted could review the site boundary held on file and any corrections or amendments needed could be flagged and resolved. This consultation process has enabled a clear and up to date assessment to take place. Responses were received on 440 sites and these sites are included in this assessment.</w:t>
      </w:r>
    </w:p>
    <w:p w:rsidR="009A1B03" w:rsidRPr="00E75A7A" w:rsidRDefault="009A1B03" w:rsidP="009A1B03">
      <w:pPr>
        <w:pStyle w:val="ListParagraph"/>
        <w:rPr>
          <w:rFonts w:ascii="Arial" w:hAnsi="Arial" w:cs="Arial"/>
        </w:rPr>
      </w:pPr>
    </w:p>
    <w:p w:rsidR="009A1B03" w:rsidRPr="006256CE" w:rsidRDefault="009A1B03" w:rsidP="002C707B">
      <w:pPr>
        <w:pStyle w:val="ListParagraph"/>
        <w:numPr>
          <w:ilvl w:val="1"/>
          <w:numId w:val="1"/>
        </w:numPr>
        <w:ind w:left="720" w:hanging="709"/>
        <w:rPr>
          <w:rFonts w:ascii="Arial" w:hAnsi="Arial" w:cs="Arial"/>
        </w:rPr>
      </w:pPr>
      <w:r w:rsidRPr="006256CE">
        <w:rPr>
          <w:rFonts w:ascii="Arial" w:hAnsi="Arial" w:cs="Arial"/>
        </w:rPr>
        <w:t>A ca</w:t>
      </w:r>
      <w:r w:rsidR="006256CE" w:rsidRPr="006256CE">
        <w:rPr>
          <w:rFonts w:ascii="Arial" w:hAnsi="Arial" w:cs="Arial"/>
        </w:rPr>
        <w:t>ll for sites was</w:t>
      </w:r>
      <w:r w:rsidRPr="006256CE">
        <w:rPr>
          <w:rFonts w:ascii="Arial" w:hAnsi="Arial" w:cs="Arial"/>
        </w:rPr>
        <w:t xml:space="preserve"> carried out in June 2019 to allow for new sites to be put forward and added to the sites database. </w:t>
      </w:r>
      <w:r w:rsidR="006256CE" w:rsidRPr="006256CE">
        <w:rPr>
          <w:rFonts w:ascii="Arial" w:hAnsi="Arial" w:cs="Arial"/>
        </w:rPr>
        <w:t>This report contains the new sites together with those previously contained within the June 2019 report,</w:t>
      </w:r>
      <w:r w:rsidRPr="006256CE">
        <w:rPr>
          <w:rFonts w:ascii="Arial" w:hAnsi="Arial" w:cs="Arial"/>
        </w:rPr>
        <w:t xml:space="preserve"> providing the most up to date evidence base on land supply</w:t>
      </w:r>
      <w:r w:rsidR="00946270">
        <w:rPr>
          <w:rFonts w:ascii="Arial" w:hAnsi="Arial" w:cs="Arial"/>
        </w:rPr>
        <w:t xml:space="preserve"> for a total of 705 sites</w:t>
      </w:r>
      <w:r w:rsidRPr="006256CE">
        <w:rPr>
          <w:rFonts w:ascii="Arial" w:hAnsi="Arial" w:cs="Arial"/>
        </w:rPr>
        <w:t>.  This will in turn inform the site allocation assessment process as part of the Local Plan review. The site allocation assessment process will use the HELAA as the source of sites to be assessed and the constraints identified, but will also balance other evidence and information in the decision making process.</w:t>
      </w:r>
    </w:p>
    <w:p w:rsidR="009A1B03" w:rsidRPr="00E75A7A" w:rsidRDefault="009A1B03" w:rsidP="009A1B03">
      <w:pPr>
        <w:pStyle w:val="Heading1"/>
        <w:numPr>
          <w:ilvl w:val="0"/>
          <w:numId w:val="1"/>
        </w:numPr>
        <w:rPr>
          <w:rFonts w:ascii="Arial" w:hAnsi="Arial" w:cs="Arial"/>
        </w:rPr>
      </w:pPr>
      <w:bookmarkStart w:id="3" w:name="_Toc10209200"/>
      <w:r w:rsidRPr="00E75A7A">
        <w:rPr>
          <w:rFonts w:ascii="Arial" w:hAnsi="Arial" w:cs="Arial"/>
        </w:rPr>
        <w:t>Methodology</w:t>
      </w:r>
      <w:bookmarkEnd w:id="3"/>
    </w:p>
    <w:p w:rsidR="009A1B03" w:rsidRPr="00E75A7A" w:rsidRDefault="009A1B03" w:rsidP="009A1B03">
      <w:pPr>
        <w:pStyle w:val="ListParagraph"/>
        <w:ind w:left="370"/>
        <w:rPr>
          <w:rFonts w:ascii="Arial" w:hAnsi="Arial" w:cs="Arial"/>
        </w:rPr>
      </w:pPr>
    </w:p>
    <w:p w:rsidR="009A1B03" w:rsidRDefault="009A1B03" w:rsidP="009A1B03">
      <w:pPr>
        <w:pStyle w:val="ListParagraph"/>
        <w:numPr>
          <w:ilvl w:val="1"/>
          <w:numId w:val="1"/>
        </w:numPr>
        <w:ind w:left="709" w:hanging="709"/>
        <w:rPr>
          <w:rFonts w:ascii="Arial" w:hAnsi="Arial" w:cs="Arial"/>
        </w:rPr>
      </w:pPr>
      <w:r w:rsidRPr="00E75A7A">
        <w:rPr>
          <w:rFonts w:ascii="Arial" w:hAnsi="Arial" w:cs="Arial"/>
        </w:rPr>
        <w:t>The methodology used for this HELAA is based on the approach identified in the PPG. The PPG sets out a flow chart</w:t>
      </w:r>
      <w:r w:rsidRPr="00E75A7A">
        <w:rPr>
          <w:rStyle w:val="FootnoteReference"/>
          <w:rFonts w:ascii="Arial" w:hAnsi="Arial" w:cs="Arial"/>
        </w:rPr>
        <w:footnoteReference w:id="4"/>
      </w:r>
      <w:r w:rsidRPr="00E75A7A">
        <w:rPr>
          <w:rFonts w:ascii="Arial" w:hAnsi="Arial" w:cs="Arial"/>
        </w:rPr>
        <w:t xml:space="preserve"> (below) on identifying each step of the process to be followed.</w:t>
      </w:r>
    </w:p>
    <w:p w:rsidR="009A1B03" w:rsidRPr="00AE238D" w:rsidRDefault="009A1B03" w:rsidP="009A1B03">
      <w:pPr>
        <w:pStyle w:val="ListParagraph"/>
        <w:ind w:left="709"/>
        <w:rPr>
          <w:rFonts w:ascii="Arial" w:hAnsi="Arial" w:cs="Arial"/>
        </w:rPr>
      </w:pPr>
    </w:p>
    <w:p w:rsidR="009A1B03" w:rsidRPr="00E75A7A" w:rsidRDefault="009A1B03" w:rsidP="009A1B03">
      <w:pPr>
        <w:ind w:left="720"/>
        <w:rPr>
          <w:rFonts w:ascii="Arial" w:hAnsi="Arial" w:cs="Arial"/>
        </w:rPr>
      </w:pPr>
      <w:r>
        <w:rPr>
          <w:rFonts w:ascii="Arial" w:hAnsi="Arial" w:cs="Arial"/>
          <w:noProof/>
          <w:lang w:eastAsia="en-GB"/>
        </w:rPr>
        <w:lastRenderedPageBreak/>
        <w:drawing>
          <wp:inline distT="0" distB="0" distL="0" distR="0" wp14:anchorId="277865CF" wp14:editId="50E6779C">
            <wp:extent cx="5249241" cy="7658100"/>
            <wp:effectExtent l="19050" t="19050" r="2794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hodology flowchart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1315" cy="7661126"/>
                    </a:xfrm>
                    <a:prstGeom prst="rect">
                      <a:avLst/>
                    </a:prstGeom>
                    <a:ln>
                      <a:solidFill>
                        <a:schemeClr val="tx1">
                          <a:lumMod val="50000"/>
                          <a:lumOff val="50000"/>
                        </a:schemeClr>
                      </a:solidFill>
                    </a:ln>
                  </pic:spPr>
                </pic:pic>
              </a:graphicData>
            </a:graphic>
          </wp:inline>
        </w:drawing>
      </w:r>
    </w:p>
    <w:p w:rsidR="009A1B03" w:rsidRPr="00E75A7A" w:rsidRDefault="009A1B03" w:rsidP="009A1B03">
      <w:pPr>
        <w:pStyle w:val="ListParagraph"/>
        <w:ind w:left="0"/>
        <w:rPr>
          <w:rFonts w:ascii="Arial" w:hAnsi="Arial" w:cs="Arial"/>
        </w:rPr>
      </w:pPr>
      <w:r w:rsidRPr="00E75A7A">
        <w:rPr>
          <w:rFonts w:ascii="Arial" w:hAnsi="Arial" w:cs="Arial"/>
        </w:rPr>
        <w:br w:type="column"/>
      </w:r>
    </w:p>
    <w:p w:rsidR="009A1B03" w:rsidRPr="00C05ACC" w:rsidRDefault="009A1B03" w:rsidP="009A1B03">
      <w:pPr>
        <w:pStyle w:val="Heading2"/>
        <w:ind w:firstLine="709"/>
        <w:rPr>
          <w:rFonts w:cs="Arial"/>
        </w:rPr>
      </w:pPr>
      <w:r w:rsidRPr="00C05ACC">
        <w:rPr>
          <w:rFonts w:cs="Arial"/>
        </w:rPr>
        <w:t>Stage 1 – Site/ Broad location identification</w:t>
      </w:r>
    </w:p>
    <w:p w:rsidR="009A1B03" w:rsidRPr="00C05ACC" w:rsidRDefault="009A1B03" w:rsidP="009A1B03">
      <w:pPr>
        <w:pStyle w:val="ListParagraph"/>
        <w:numPr>
          <w:ilvl w:val="1"/>
          <w:numId w:val="1"/>
        </w:numPr>
        <w:ind w:left="709" w:hanging="709"/>
        <w:rPr>
          <w:rFonts w:ascii="Arial" w:hAnsi="Arial" w:cs="Arial"/>
        </w:rPr>
      </w:pPr>
      <w:r w:rsidRPr="00C05ACC">
        <w:rPr>
          <w:rFonts w:ascii="Arial" w:hAnsi="Arial" w:cs="Arial"/>
        </w:rPr>
        <w:t>In order to assess the land that is potentially available and suitable for housing and economic development</w:t>
      </w:r>
      <w:r>
        <w:rPr>
          <w:rFonts w:ascii="Arial" w:hAnsi="Arial" w:cs="Arial"/>
        </w:rPr>
        <w:t>,</w:t>
      </w:r>
      <w:r w:rsidRPr="00C05ACC">
        <w:rPr>
          <w:rFonts w:ascii="Arial" w:hAnsi="Arial" w:cs="Arial"/>
        </w:rPr>
        <w:t xml:space="preserve"> it is first necessary to identify the potential land opportunities that exist. The HELAA considers a range of different site sizes from small scale to large scale </w:t>
      </w:r>
      <w:r>
        <w:rPr>
          <w:rFonts w:ascii="Arial" w:hAnsi="Arial" w:cs="Arial"/>
        </w:rPr>
        <w:t>site</w:t>
      </w:r>
      <w:r w:rsidRPr="00C05ACC">
        <w:rPr>
          <w:rFonts w:ascii="Arial" w:hAnsi="Arial" w:cs="Arial"/>
        </w:rPr>
        <w:t>s such as sustainable urban extensions. It is therefore important to identify the geographical area which is to be looked at for available land and the threshold of sites to be included.</w:t>
      </w:r>
    </w:p>
    <w:p w:rsidR="009A1B03" w:rsidRPr="00C05ACC"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C05ACC">
        <w:rPr>
          <w:rFonts w:ascii="Arial" w:hAnsi="Arial" w:cs="Arial"/>
        </w:rPr>
        <w:t>The geographical</w:t>
      </w:r>
      <w:r w:rsidRPr="00E75A7A">
        <w:rPr>
          <w:rFonts w:ascii="Arial" w:hAnsi="Arial" w:cs="Arial"/>
        </w:rPr>
        <w:t xml:space="preserve"> scope of the assessment is the three local authority areas that make up the Central Lincolnshire area, including City of Lincoln Council, North </w:t>
      </w:r>
      <w:proofErr w:type="spellStart"/>
      <w:r w:rsidRPr="00E75A7A">
        <w:rPr>
          <w:rFonts w:ascii="Arial" w:hAnsi="Arial" w:cs="Arial"/>
        </w:rPr>
        <w:t>Kesteven</w:t>
      </w:r>
      <w:proofErr w:type="spellEnd"/>
      <w:r w:rsidRPr="00E75A7A">
        <w:rPr>
          <w:rFonts w:ascii="Arial" w:hAnsi="Arial" w:cs="Arial"/>
        </w:rPr>
        <w:t xml:space="preserve"> District Council and West Lindsey District Council.</w:t>
      </w:r>
    </w:p>
    <w:p w:rsidR="009A1B03" w:rsidRPr="00E75A7A" w:rsidRDefault="009A1B03" w:rsidP="009A1B03">
      <w:pPr>
        <w:pStyle w:val="ListParagraph"/>
        <w:ind w:left="709"/>
        <w:rPr>
          <w:rFonts w:ascii="Arial" w:hAnsi="Arial" w:cs="Arial"/>
        </w:rPr>
      </w:pPr>
    </w:p>
    <w:p w:rsidR="009A1B03" w:rsidRDefault="006256CE" w:rsidP="009A1B03">
      <w:pPr>
        <w:pStyle w:val="ListParagraph"/>
        <w:numPr>
          <w:ilvl w:val="1"/>
          <w:numId w:val="1"/>
        </w:numPr>
        <w:ind w:left="709" w:hanging="709"/>
        <w:rPr>
          <w:rFonts w:ascii="Arial" w:hAnsi="Arial" w:cs="Arial"/>
        </w:rPr>
      </w:pPr>
      <w:r>
        <w:rPr>
          <w:rFonts w:ascii="Arial" w:hAnsi="Arial" w:cs="Arial"/>
        </w:rPr>
        <w:t>The PPG states that ‘plan-</w:t>
      </w:r>
      <w:r w:rsidR="009A1B03" w:rsidRPr="00E75A7A">
        <w:rPr>
          <w:rFonts w:ascii="Arial" w:hAnsi="Arial" w:cs="Arial"/>
        </w:rPr>
        <w:t>makers</w:t>
      </w:r>
      <w:r>
        <w:rPr>
          <w:rFonts w:ascii="Arial" w:hAnsi="Arial" w:cs="Arial"/>
        </w:rPr>
        <w:t xml:space="preserve"> will</w:t>
      </w:r>
      <w:r w:rsidR="009A1B03" w:rsidRPr="00E75A7A">
        <w:rPr>
          <w:rFonts w:ascii="Arial" w:hAnsi="Arial" w:cs="Arial"/>
        </w:rPr>
        <w:t xml:space="preserve"> need to assess a range of different site sizes from small-scale sites to opportunities for large-scale developments such as village and town extensions and new settlements where appropriate’. A threshold of sites capable of delivering 5 or more dwellings or economic development on sites of 0.25ha (or 500m</w:t>
      </w:r>
      <w:r w:rsidR="009A1B03">
        <w:rPr>
          <w:rFonts w:ascii="Arial" w:hAnsi="Arial" w:cs="Arial"/>
        </w:rPr>
        <w:t>²</w:t>
      </w:r>
      <w:r w:rsidR="009A1B03" w:rsidRPr="00E75A7A">
        <w:rPr>
          <w:rFonts w:ascii="Arial" w:hAnsi="Arial" w:cs="Arial"/>
        </w:rPr>
        <w:t xml:space="preserve"> of floor space) and above is identified in the guidance</w:t>
      </w:r>
      <w:r w:rsidR="009A1B03" w:rsidRPr="00E75A7A">
        <w:rPr>
          <w:rStyle w:val="FootnoteReference"/>
          <w:rFonts w:ascii="Arial" w:hAnsi="Arial" w:cs="Arial"/>
        </w:rPr>
        <w:footnoteReference w:id="5"/>
      </w:r>
      <w:r w:rsidR="009A1B03" w:rsidRPr="00E75A7A">
        <w:rPr>
          <w:rFonts w:ascii="Arial" w:hAnsi="Arial" w:cs="Arial"/>
        </w:rPr>
        <w:t xml:space="preserve">. </w:t>
      </w:r>
    </w:p>
    <w:p w:rsidR="009A1B03" w:rsidRPr="00BC2560" w:rsidRDefault="009A1B03" w:rsidP="009A1B03">
      <w:pPr>
        <w:pStyle w:val="ListParagraph"/>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This HELAA includes all sites that meet this threshold and all of these sites are identified in </w:t>
      </w:r>
      <w:r w:rsidRPr="00695B64">
        <w:rPr>
          <w:rFonts w:ascii="Arial" w:hAnsi="Arial" w:cs="Arial"/>
        </w:rPr>
        <w:t xml:space="preserve">Appendix </w:t>
      </w:r>
      <w:r w:rsidR="00610B24">
        <w:rPr>
          <w:rFonts w:ascii="Arial" w:hAnsi="Arial" w:cs="Arial"/>
        </w:rPr>
        <w:t>C</w:t>
      </w:r>
      <w:r w:rsidR="00636B5C">
        <w:rPr>
          <w:rFonts w:ascii="Arial" w:hAnsi="Arial" w:cs="Arial"/>
        </w:rPr>
        <w:t>, D and E</w:t>
      </w:r>
      <w:r w:rsidRPr="00E75A7A">
        <w:rPr>
          <w:rFonts w:ascii="Arial" w:hAnsi="Arial" w:cs="Arial"/>
        </w:rPr>
        <w:t xml:space="preserve">, </w:t>
      </w:r>
      <w:r>
        <w:rPr>
          <w:rFonts w:ascii="Arial" w:hAnsi="Arial" w:cs="Arial"/>
        </w:rPr>
        <w:t xml:space="preserve">along </w:t>
      </w:r>
      <w:r w:rsidRPr="00E75A7A">
        <w:rPr>
          <w:rFonts w:ascii="Arial" w:hAnsi="Arial" w:cs="Arial"/>
        </w:rPr>
        <w:t>with a data sheet</w:t>
      </w:r>
      <w:r>
        <w:rPr>
          <w:rFonts w:ascii="Arial" w:hAnsi="Arial" w:cs="Arial"/>
        </w:rPr>
        <w:t>,</w:t>
      </w:r>
      <w:r w:rsidRPr="00E75A7A">
        <w:rPr>
          <w:rFonts w:ascii="Arial" w:hAnsi="Arial" w:cs="Arial"/>
        </w:rPr>
        <w:t xml:space="preserve"> a site location plan, constraint information and details about availability and achievability. All sites have been identified with a unique reference number which is made up of the district code, parish or ward code and then a 3 digit number.  </w:t>
      </w:r>
      <w:r w:rsidRPr="00610B24">
        <w:rPr>
          <w:rFonts w:ascii="Arial" w:hAnsi="Arial" w:cs="Arial"/>
        </w:rPr>
        <w:t xml:space="preserve">All sites that were submitted but do not meet the size threshold have been identified and are listed in Appendix </w:t>
      </w:r>
      <w:r w:rsidR="00610B24" w:rsidRPr="00610B24">
        <w:rPr>
          <w:rFonts w:ascii="Arial" w:hAnsi="Arial" w:cs="Arial"/>
        </w:rPr>
        <w:t>B</w:t>
      </w:r>
      <w:r w:rsidRPr="00610B24">
        <w:rPr>
          <w:rFonts w:ascii="Arial" w:hAnsi="Arial" w:cs="Arial"/>
        </w:rPr>
        <w:t>. Site sugges</w:t>
      </w:r>
      <w:r w:rsidR="00610B24" w:rsidRPr="00610B24">
        <w:rPr>
          <w:rFonts w:ascii="Arial" w:hAnsi="Arial" w:cs="Arial"/>
        </w:rPr>
        <w:t>tion forms were received for 705 sites, with 682</w:t>
      </w:r>
      <w:r w:rsidRPr="00610B24">
        <w:rPr>
          <w:rFonts w:ascii="Arial" w:hAnsi="Arial" w:cs="Arial"/>
        </w:rPr>
        <w:t xml:space="preserve"> of those sites meeting the threshold.</w:t>
      </w:r>
      <w:r w:rsidRPr="00E75A7A">
        <w:rPr>
          <w:rFonts w:ascii="Arial" w:hAnsi="Arial" w:cs="Arial"/>
        </w:rPr>
        <w:t xml:space="preserve"> </w:t>
      </w:r>
    </w:p>
    <w:p w:rsidR="009A1B03" w:rsidRPr="00E75A7A" w:rsidRDefault="009A1B03" w:rsidP="009A1B03">
      <w:pPr>
        <w:pStyle w:val="ListParagraph"/>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A wide range of information, including for example, environmental, landscape and heritage constraints have been collated in order to complete a desktop review of each site. </w:t>
      </w:r>
      <w:r w:rsidRPr="00737CFD">
        <w:rPr>
          <w:rFonts w:ascii="Arial" w:hAnsi="Arial" w:cs="Arial"/>
        </w:rPr>
        <w:t>Th</w:t>
      </w:r>
      <w:r w:rsidR="00737CFD" w:rsidRPr="00737CFD">
        <w:rPr>
          <w:rFonts w:ascii="Arial" w:hAnsi="Arial" w:cs="Arial"/>
        </w:rPr>
        <w:t>is data was accurate at September 2019</w:t>
      </w:r>
      <w:r w:rsidRPr="00737CFD">
        <w:rPr>
          <w:rFonts w:ascii="Arial" w:hAnsi="Arial" w:cs="Arial"/>
        </w:rPr>
        <w:t>. Details of the sources of data collated for each site is identified in Appendix A.</w:t>
      </w:r>
    </w:p>
    <w:p w:rsidR="009A1B03" w:rsidRPr="00E75A7A" w:rsidRDefault="009A1B03" w:rsidP="009A1B03">
      <w:pPr>
        <w:pStyle w:val="ListParagraph"/>
        <w:ind w:left="709"/>
        <w:rPr>
          <w:rFonts w:ascii="Arial" w:hAnsi="Arial" w:cs="Arial"/>
        </w:rPr>
      </w:pPr>
    </w:p>
    <w:p w:rsidR="009A1B03" w:rsidRPr="00E75A7A" w:rsidRDefault="009A1B03" w:rsidP="009A1B03">
      <w:pPr>
        <w:pStyle w:val="ListParagraph"/>
        <w:numPr>
          <w:ilvl w:val="1"/>
          <w:numId w:val="1"/>
        </w:numPr>
        <w:ind w:left="709" w:hanging="709"/>
        <w:rPr>
          <w:rFonts w:ascii="Arial" w:hAnsi="Arial" w:cs="Arial"/>
        </w:rPr>
      </w:pPr>
      <w:r w:rsidRPr="00E75A7A">
        <w:rPr>
          <w:rFonts w:ascii="Arial" w:hAnsi="Arial" w:cs="Arial"/>
        </w:rPr>
        <w:t xml:space="preserve">As part of the consultation on the sites </w:t>
      </w:r>
      <w:r>
        <w:rPr>
          <w:rFonts w:ascii="Arial" w:hAnsi="Arial" w:cs="Arial"/>
        </w:rPr>
        <w:t xml:space="preserve">in the </w:t>
      </w:r>
      <w:r w:rsidRPr="00E75A7A">
        <w:rPr>
          <w:rFonts w:ascii="Arial" w:hAnsi="Arial" w:cs="Arial"/>
        </w:rPr>
        <w:t xml:space="preserve">database during February and March 2019 and the request for a new site suggestion form to be provided for each site, up to date information has been collated on the availability and achievability of each site. </w:t>
      </w:r>
    </w:p>
    <w:p w:rsidR="009A1B03" w:rsidRPr="00E75A7A" w:rsidRDefault="009A1B03" w:rsidP="009A1B03">
      <w:pPr>
        <w:pStyle w:val="ListParagraph"/>
        <w:ind w:left="709"/>
        <w:rPr>
          <w:rFonts w:ascii="Arial" w:hAnsi="Arial" w:cs="Arial"/>
        </w:rPr>
      </w:pPr>
    </w:p>
    <w:p w:rsidR="009A1B03" w:rsidRPr="00E75A7A" w:rsidRDefault="00DB318C" w:rsidP="009A1B03">
      <w:pPr>
        <w:pStyle w:val="ListParagraph"/>
        <w:numPr>
          <w:ilvl w:val="1"/>
          <w:numId w:val="1"/>
        </w:numPr>
        <w:ind w:left="709" w:hanging="709"/>
        <w:rPr>
          <w:rFonts w:ascii="Arial" w:hAnsi="Arial" w:cs="Arial"/>
        </w:rPr>
      </w:pPr>
      <w:r>
        <w:rPr>
          <w:rFonts w:ascii="Arial" w:hAnsi="Arial" w:cs="Arial"/>
        </w:rPr>
        <w:t>A call for sites was</w:t>
      </w:r>
      <w:r w:rsidR="009A1B03" w:rsidRPr="00E75A7A">
        <w:rPr>
          <w:rFonts w:ascii="Arial" w:hAnsi="Arial" w:cs="Arial"/>
        </w:rPr>
        <w:t xml:space="preserve"> carried out in June 2019 when a range </w:t>
      </w:r>
      <w:r>
        <w:rPr>
          <w:rFonts w:ascii="Arial" w:hAnsi="Arial" w:cs="Arial"/>
        </w:rPr>
        <w:t>of different stakeholders were</w:t>
      </w:r>
      <w:r w:rsidR="009A1B03" w:rsidRPr="00E75A7A">
        <w:rPr>
          <w:rFonts w:ascii="Arial" w:hAnsi="Arial" w:cs="Arial"/>
        </w:rPr>
        <w:t xml:space="preserve"> contacted request</w:t>
      </w:r>
      <w:r>
        <w:rPr>
          <w:rFonts w:ascii="Arial" w:hAnsi="Arial" w:cs="Arial"/>
        </w:rPr>
        <w:t>ing that any available sites were</w:t>
      </w:r>
      <w:r w:rsidR="009A1B03" w:rsidRPr="00E75A7A">
        <w:rPr>
          <w:rFonts w:ascii="Arial" w:hAnsi="Arial" w:cs="Arial"/>
        </w:rPr>
        <w:t xml:space="preserve"> put forward. The range of stakehol</w:t>
      </w:r>
      <w:r>
        <w:rPr>
          <w:rFonts w:ascii="Arial" w:hAnsi="Arial" w:cs="Arial"/>
        </w:rPr>
        <w:t xml:space="preserve">ders </w:t>
      </w:r>
      <w:r w:rsidR="009A1B03" w:rsidRPr="00E75A7A">
        <w:rPr>
          <w:rFonts w:ascii="Arial" w:hAnsi="Arial" w:cs="Arial"/>
        </w:rPr>
        <w:t>include</w:t>
      </w:r>
      <w:r>
        <w:rPr>
          <w:rFonts w:ascii="Arial" w:hAnsi="Arial" w:cs="Arial"/>
        </w:rPr>
        <w:t>d</w:t>
      </w:r>
      <w:r w:rsidR="009A1B03" w:rsidRPr="00E75A7A">
        <w:rPr>
          <w:rFonts w:ascii="Arial" w:hAnsi="Arial" w:cs="Arial"/>
        </w:rPr>
        <w:t xml:space="preserve"> </w:t>
      </w:r>
      <w:r w:rsidR="009A1B03">
        <w:rPr>
          <w:rFonts w:ascii="Arial" w:hAnsi="Arial" w:cs="Arial"/>
        </w:rPr>
        <w:t xml:space="preserve">agents, developers, </w:t>
      </w:r>
      <w:r w:rsidR="009A1B03" w:rsidRPr="00E75A7A">
        <w:rPr>
          <w:rFonts w:ascii="Arial" w:hAnsi="Arial" w:cs="Arial"/>
        </w:rPr>
        <w:t xml:space="preserve">local authorities, the county council, parish councils, neighbourhood planning groups and other consultees identified on the consultation database.  The call for sites </w:t>
      </w:r>
      <w:r>
        <w:rPr>
          <w:rFonts w:ascii="Arial" w:hAnsi="Arial" w:cs="Arial"/>
        </w:rPr>
        <w:t>was also</w:t>
      </w:r>
      <w:r w:rsidR="009A1B03" w:rsidRPr="00E75A7A">
        <w:rPr>
          <w:rFonts w:ascii="Arial" w:hAnsi="Arial" w:cs="Arial"/>
        </w:rPr>
        <w:t xml:space="preserve"> advertised on the Central Lincolnshire Local Plan website</w:t>
      </w:r>
      <w:r w:rsidR="009A1B03">
        <w:rPr>
          <w:rFonts w:ascii="Arial" w:hAnsi="Arial" w:cs="Arial"/>
        </w:rPr>
        <w:t xml:space="preserve">. </w:t>
      </w:r>
      <w:r w:rsidR="009A1B03" w:rsidRPr="00E75A7A">
        <w:rPr>
          <w:rFonts w:ascii="Arial" w:hAnsi="Arial" w:cs="Arial"/>
        </w:rPr>
        <w:t xml:space="preserve"> </w:t>
      </w:r>
      <w:r w:rsidR="009A1B03" w:rsidRPr="00737CFD">
        <w:rPr>
          <w:rFonts w:ascii="Arial" w:hAnsi="Arial" w:cs="Arial"/>
        </w:rPr>
        <w:t xml:space="preserve">Any </w:t>
      </w:r>
      <w:r w:rsidRPr="00737CFD">
        <w:rPr>
          <w:rFonts w:ascii="Arial" w:hAnsi="Arial" w:cs="Arial"/>
        </w:rPr>
        <w:t xml:space="preserve">additional </w:t>
      </w:r>
      <w:r w:rsidR="00737CFD" w:rsidRPr="00737CFD">
        <w:rPr>
          <w:rFonts w:ascii="Arial" w:hAnsi="Arial" w:cs="Arial"/>
        </w:rPr>
        <w:t>sites promoted have been</w:t>
      </w:r>
      <w:r w:rsidR="009A1B03" w:rsidRPr="00737CFD">
        <w:rPr>
          <w:rFonts w:ascii="Arial" w:hAnsi="Arial" w:cs="Arial"/>
        </w:rPr>
        <w:t xml:space="preserve"> added to the sites database.</w:t>
      </w:r>
    </w:p>
    <w:p w:rsidR="009A1B03" w:rsidRPr="00E75A7A" w:rsidRDefault="009A1B03" w:rsidP="009A1B03">
      <w:pPr>
        <w:ind w:left="709" w:hanging="709"/>
        <w:rPr>
          <w:rFonts w:ascii="Arial" w:hAnsi="Arial" w:cs="Arial"/>
        </w:rPr>
      </w:pPr>
      <w:r w:rsidRPr="00E75A7A">
        <w:rPr>
          <w:rFonts w:ascii="Arial" w:hAnsi="Arial" w:cs="Arial"/>
        </w:rPr>
        <w:t>4.8</w:t>
      </w:r>
      <w:r w:rsidRPr="00E75A7A">
        <w:rPr>
          <w:rFonts w:ascii="Arial" w:hAnsi="Arial" w:cs="Arial"/>
        </w:rPr>
        <w:tab/>
        <w:t>Following the call for sites in June 2019, a</w:t>
      </w:r>
      <w:r>
        <w:rPr>
          <w:rFonts w:ascii="Arial" w:hAnsi="Arial" w:cs="Arial"/>
        </w:rPr>
        <w:t>ll</w:t>
      </w:r>
      <w:r w:rsidRPr="00E75A7A">
        <w:rPr>
          <w:rFonts w:ascii="Arial" w:hAnsi="Arial" w:cs="Arial"/>
        </w:rPr>
        <w:t xml:space="preserve"> site</w:t>
      </w:r>
      <w:r>
        <w:rPr>
          <w:rFonts w:ascii="Arial" w:hAnsi="Arial" w:cs="Arial"/>
        </w:rPr>
        <w:t xml:space="preserve">s that meet the threshold criteria for allocation in the Local Plan </w:t>
      </w:r>
      <w:r w:rsidR="004A719A">
        <w:rPr>
          <w:rFonts w:ascii="Arial" w:hAnsi="Arial" w:cs="Arial"/>
        </w:rPr>
        <w:t>were</w:t>
      </w:r>
      <w:r w:rsidRPr="00E75A7A">
        <w:rPr>
          <w:rFonts w:ascii="Arial" w:hAnsi="Arial" w:cs="Arial"/>
        </w:rPr>
        <w:t xml:space="preserve"> survey</w:t>
      </w:r>
      <w:r>
        <w:rPr>
          <w:rFonts w:ascii="Arial" w:hAnsi="Arial" w:cs="Arial"/>
        </w:rPr>
        <w:t>ed</w:t>
      </w:r>
      <w:r w:rsidRPr="00E75A7A">
        <w:rPr>
          <w:rFonts w:ascii="Arial" w:hAnsi="Arial" w:cs="Arial"/>
        </w:rPr>
        <w:t xml:space="preserve">. </w:t>
      </w:r>
    </w:p>
    <w:p w:rsidR="009A1B03" w:rsidRPr="00C05ACC" w:rsidRDefault="009A1B03" w:rsidP="009A1B03">
      <w:pPr>
        <w:pStyle w:val="Heading2"/>
        <w:ind w:firstLine="709"/>
      </w:pPr>
      <w:r w:rsidRPr="00E75A7A">
        <w:lastRenderedPageBreak/>
        <w:t>Stage 2 – Site/ Broad Location Assessment</w:t>
      </w:r>
    </w:p>
    <w:p w:rsidR="009A1B03" w:rsidRPr="00C05ACC" w:rsidRDefault="009A1B03" w:rsidP="009A1B03">
      <w:pPr>
        <w:pStyle w:val="ListParagraph"/>
        <w:numPr>
          <w:ilvl w:val="1"/>
          <w:numId w:val="2"/>
        </w:numPr>
        <w:ind w:left="709" w:hanging="709"/>
        <w:rPr>
          <w:rFonts w:ascii="Arial" w:hAnsi="Arial" w:cs="Arial"/>
        </w:rPr>
      </w:pPr>
      <w:r w:rsidRPr="00C05ACC">
        <w:rPr>
          <w:rFonts w:ascii="Arial" w:hAnsi="Arial" w:cs="Arial"/>
        </w:rPr>
        <w:t>The purpose of this stage of the process is to determin</w:t>
      </w:r>
      <w:r>
        <w:rPr>
          <w:rFonts w:ascii="Arial" w:hAnsi="Arial" w:cs="Arial"/>
        </w:rPr>
        <w:t>e</w:t>
      </w:r>
      <w:r w:rsidRPr="00C05ACC">
        <w:rPr>
          <w:rFonts w:ascii="Arial" w:hAnsi="Arial" w:cs="Arial"/>
        </w:rPr>
        <w:t xml:space="preserve"> whether sites are suitable or not</w:t>
      </w:r>
      <w:r>
        <w:rPr>
          <w:rFonts w:ascii="Arial" w:hAnsi="Arial" w:cs="Arial"/>
        </w:rPr>
        <w:t xml:space="preserve"> for development, and </w:t>
      </w:r>
      <w:r w:rsidRPr="00C05ACC">
        <w:rPr>
          <w:rFonts w:ascii="Arial" w:hAnsi="Arial" w:cs="Arial"/>
        </w:rPr>
        <w:t>whether they are available and achievable</w:t>
      </w:r>
      <w:r>
        <w:rPr>
          <w:rFonts w:ascii="Arial" w:hAnsi="Arial" w:cs="Arial"/>
        </w:rPr>
        <w:t>, consistent with national definitions</w:t>
      </w:r>
      <w:r w:rsidRPr="00C05ACC">
        <w:rPr>
          <w:rFonts w:ascii="Arial" w:hAnsi="Arial" w:cs="Arial"/>
        </w:rPr>
        <w:t>.</w:t>
      </w:r>
    </w:p>
    <w:p w:rsidR="009A1B03" w:rsidRPr="00C05ACC" w:rsidRDefault="009A1B03" w:rsidP="009A1B03">
      <w:pPr>
        <w:pStyle w:val="ListParagraph"/>
        <w:ind w:left="709"/>
        <w:rPr>
          <w:rFonts w:ascii="Arial" w:hAnsi="Arial" w:cs="Arial"/>
        </w:rPr>
      </w:pPr>
    </w:p>
    <w:p w:rsidR="009A1B03" w:rsidRPr="00C05ACC" w:rsidRDefault="009A1B03" w:rsidP="009A1B03">
      <w:pPr>
        <w:pStyle w:val="ListParagraph"/>
        <w:ind w:left="709"/>
        <w:rPr>
          <w:rFonts w:ascii="Arial" w:hAnsi="Arial" w:cs="Arial"/>
        </w:rPr>
      </w:pPr>
      <w:r w:rsidRPr="00E75A7A">
        <w:rPr>
          <w:rFonts w:ascii="Arial" w:hAnsi="Arial" w:cs="Arial"/>
          <w:b/>
        </w:rPr>
        <w:t>Calculating Development Potential</w:t>
      </w:r>
    </w:p>
    <w:p w:rsidR="009A1B03" w:rsidRPr="00C05ACC" w:rsidRDefault="009A1B03" w:rsidP="009A1B03">
      <w:pPr>
        <w:pStyle w:val="ListParagraph"/>
        <w:numPr>
          <w:ilvl w:val="1"/>
          <w:numId w:val="2"/>
        </w:numPr>
        <w:ind w:left="709" w:hanging="709"/>
        <w:rPr>
          <w:rFonts w:ascii="Arial" w:hAnsi="Arial" w:cs="Arial"/>
        </w:rPr>
      </w:pPr>
      <w:r w:rsidRPr="00C05ACC">
        <w:rPr>
          <w:rFonts w:ascii="Arial" w:hAnsi="Arial" w:cs="Arial"/>
        </w:rPr>
        <w:t>The housing potential of a site refers to the net number of dwellings that a site can accommodate through its development or conversion of existing buildings. Rather tha</w:t>
      </w:r>
      <w:r w:rsidR="00636B5C">
        <w:rPr>
          <w:rFonts w:ascii="Arial" w:hAnsi="Arial" w:cs="Arial"/>
        </w:rPr>
        <w:t>n make a standard assumption of</w:t>
      </w:r>
      <w:r>
        <w:rPr>
          <w:rFonts w:ascii="Arial" w:hAnsi="Arial" w:cs="Arial"/>
        </w:rPr>
        <w:t xml:space="preserve"> </w:t>
      </w:r>
      <w:r w:rsidRPr="00C05ACC">
        <w:rPr>
          <w:rFonts w:ascii="Arial" w:hAnsi="Arial" w:cs="Arial"/>
        </w:rPr>
        <w:t xml:space="preserve">30 dwellings per hectare across the whole of the three local authority areas, </w:t>
      </w:r>
      <w:r w:rsidR="00D71797">
        <w:rPr>
          <w:rFonts w:ascii="Arial" w:hAnsi="Arial" w:cs="Arial"/>
        </w:rPr>
        <w:t xml:space="preserve">an </w:t>
      </w:r>
      <w:r w:rsidRPr="00C05ACC">
        <w:rPr>
          <w:rFonts w:ascii="Arial" w:hAnsi="Arial" w:cs="Arial"/>
        </w:rPr>
        <w:t xml:space="preserve">analysis of recent schemes, which have a </w:t>
      </w:r>
      <w:r>
        <w:rPr>
          <w:rFonts w:ascii="Arial" w:hAnsi="Arial" w:cs="Arial"/>
        </w:rPr>
        <w:t>recent</w:t>
      </w:r>
      <w:r w:rsidRPr="00C05ACC">
        <w:rPr>
          <w:rFonts w:ascii="Arial" w:hAnsi="Arial" w:cs="Arial"/>
        </w:rPr>
        <w:t xml:space="preserve"> planning permission in place or are </w:t>
      </w:r>
      <w:r w:rsidR="00D71797">
        <w:rPr>
          <w:rFonts w:ascii="Arial" w:hAnsi="Arial" w:cs="Arial"/>
        </w:rPr>
        <w:t>actively under construction has</w:t>
      </w:r>
      <w:r w:rsidRPr="00C05ACC">
        <w:rPr>
          <w:rFonts w:ascii="Arial" w:hAnsi="Arial" w:cs="Arial"/>
        </w:rPr>
        <w:t xml:space="preserve"> been used to identify densities across the various different settlement location types. Further detail on this can be found in the Site Allocation Assessment Methodology Consultation Paper June 2019, which is available at </w:t>
      </w:r>
      <w:hyperlink r:id="rId9" w:history="1">
        <w:r w:rsidRPr="00C05ACC">
          <w:rPr>
            <w:rStyle w:val="Hyperlink"/>
            <w:rFonts w:ascii="Arial" w:hAnsi="Arial" w:cs="Arial"/>
          </w:rPr>
          <w:t>www.central-lincs.org.uk</w:t>
        </w:r>
      </w:hyperlink>
      <w:r w:rsidRPr="00C05ACC">
        <w:rPr>
          <w:rFonts w:ascii="Arial" w:hAnsi="Arial" w:cs="Arial"/>
        </w:rPr>
        <w:t>.</w:t>
      </w:r>
    </w:p>
    <w:p w:rsidR="009A1B03" w:rsidRPr="00E75A7A" w:rsidRDefault="009A1B03" w:rsidP="009A1B03">
      <w:pPr>
        <w:ind w:left="720" w:hanging="720"/>
        <w:rPr>
          <w:rFonts w:ascii="Arial" w:hAnsi="Arial" w:cs="Arial"/>
        </w:rPr>
      </w:pPr>
      <w:r w:rsidRPr="00E75A7A">
        <w:rPr>
          <w:rFonts w:ascii="Arial" w:hAnsi="Arial" w:cs="Arial"/>
        </w:rPr>
        <w:t>4.11</w:t>
      </w:r>
      <w:r w:rsidRPr="00E75A7A">
        <w:rPr>
          <w:rFonts w:ascii="Arial" w:hAnsi="Arial" w:cs="Arial"/>
        </w:rPr>
        <w:tab/>
        <w:t>The amount of a site which can be developed, when taking into account the requirement for other types of infrastructure</w:t>
      </w:r>
      <w:r w:rsidR="00D71797">
        <w:rPr>
          <w:rFonts w:ascii="Arial" w:hAnsi="Arial" w:cs="Arial"/>
        </w:rPr>
        <w:t>,</w:t>
      </w:r>
      <w:r w:rsidRPr="00E75A7A">
        <w:rPr>
          <w:rFonts w:ascii="Arial" w:hAnsi="Arial" w:cs="Arial"/>
        </w:rPr>
        <w:t xml:space="preserve"> is </w:t>
      </w:r>
      <w:r>
        <w:rPr>
          <w:rFonts w:ascii="Arial" w:hAnsi="Arial" w:cs="Arial"/>
        </w:rPr>
        <w:t xml:space="preserve">also an important factor.  Typically </w:t>
      </w:r>
      <w:r w:rsidRPr="00E75A7A">
        <w:rPr>
          <w:rFonts w:ascii="Arial" w:hAnsi="Arial" w:cs="Arial"/>
        </w:rPr>
        <w:t>the larger the site, the less of the site is actually available for the development of housing</w:t>
      </w:r>
      <w:r>
        <w:rPr>
          <w:rFonts w:ascii="Arial" w:hAnsi="Arial" w:cs="Arial"/>
        </w:rPr>
        <w:t xml:space="preserve"> when roads, open spaces, schools and other infrastructure are factored in</w:t>
      </w:r>
      <w:r w:rsidRPr="00E75A7A">
        <w:rPr>
          <w:rFonts w:ascii="Arial" w:hAnsi="Arial" w:cs="Arial"/>
        </w:rPr>
        <w:t>. Once the developable area has been calculated, a density assumption based on the location of the site is applied. The following assumptions in tables 1 and 2 below are therefore used in identifying an indicative capacity for each of the sites.</w:t>
      </w:r>
    </w:p>
    <w:p w:rsidR="009A1B03" w:rsidRPr="00E75A7A" w:rsidRDefault="009A1B03" w:rsidP="009A1B03">
      <w:pPr>
        <w:spacing w:after="0"/>
        <w:ind w:firstLine="720"/>
        <w:rPr>
          <w:rFonts w:ascii="Arial" w:hAnsi="Arial" w:cs="Arial"/>
          <w:b/>
        </w:rPr>
      </w:pPr>
      <w:r w:rsidRPr="00E75A7A">
        <w:rPr>
          <w:rFonts w:ascii="Arial" w:hAnsi="Arial" w:cs="Arial"/>
          <w:b/>
        </w:rPr>
        <w:t>Table 1: Developable Area of Sites</w:t>
      </w:r>
    </w:p>
    <w:tbl>
      <w:tblPr>
        <w:tblStyle w:val="TableGrid"/>
        <w:tblW w:w="8930" w:type="dxa"/>
        <w:tblInd w:w="704" w:type="dxa"/>
        <w:tblLook w:val="04A0" w:firstRow="1" w:lastRow="0" w:firstColumn="1" w:lastColumn="0" w:noHBand="0" w:noVBand="1"/>
      </w:tblPr>
      <w:tblGrid>
        <w:gridCol w:w="4394"/>
        <w:gridCol w:w="4536"/>
      </w:tblGrid>
      <w:tr w:rsidR="009A1B03" w:rsidRPr="00E75A7A" w:rsidTr="004609E5">
        <w:tc>
          <w:tcPr>
            <w:tcW w:w="4394" w:type="dxa"/>
            <w:shd w:val="clear" w:color="auto" w:fill="2E74B5" w:themeFill="accent1" w:themeFillShade="BF"/>
          </w:tcPr>
          <w:p w:rsidR="009A1B03" w:rsidRPr="00E75A7A" w:rsidRDefault="009A1B03" w:rsidP="004609E5">
            <w:pPr>
              <w:rPr>
                <w:rFonts w:ascii="Arial" w:hAnsi="Arial" w:cs="Arial"/>
                <w:color w:val="FFFFFF" w:themeColor="background1"/>
              </w:rPr>
            </w:pPr>
            <w:r w:rsidRPr="00E75A7A">
              <w:rPr>
                <w:rFonts w:ascii="Arial" w:hAnsi="Arial" w:cs="Arial"/>
                <w:color w:val="FFFFFF" w:themeColor="background1"/>
              </w:rPr>
              <w:t>Site Size</w:t>
            </w:r>
          </w:p>
        </w:tc>
        <w:tc>
          <w:tcPr>
            <w:tcW w:w="4536" w:type="dxa"/>
            <w:shd w:val="clear" w:color="auto" w:fill="2E74B5" w:themeFill="accent1" w:themeFillShade="BF"/>
          </w:tcPr>
          <w:p w:rsidR="009A1B03" w:rsidRPr="00E75A7A" w:rsidRDefault="009A1B03" w:rsidP="004609E5">
            <w:pPr>
              <w:rPr>
                <w:rFonts w:ascii="Arial" w:hAnsi="Arial" w:cs="Arial"/>
                <w:color w:val="FFFFFF" w:themeColor="background1"/>
              </w:rPr>
            </w:pPr>
            <w:r w:rsidRPr="00E75A7A">
              <w:rPr>
                <w:rFonts w:ascii="Arial" w:hAnsi="Arial" w:cs="Arial"/>
                <w:color w:val="FFFFFF" w:themeColor="background1"/>
              </w:rPr>
              <w:t>Percentage of the site developable</w:t>
            </w:r>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Less than 0.4 hectares</w:t>
            </w:r>
          </w:p>
        </w:tc>
        <w:tc>
          <w:tcPr>
            <w:tcW w:w="4536" w:type="dxa"/>
          </w:tcPr>
          <w:p w:rsidR="009A1B03" w:rsidRPr="00E75A7A" w:rsidRDefault="009A1B03" w:rsidP="004609E5">
            <w:pPr>
              <w:rPr>
                <w:rFonts w:ascii="Arial" w:hAnsi="Arial" w:cs="Arial"/>
              </w:rPr>
            </w:pPr>
            <w:r w:rsidRPr="00E75A7A">
              <w:rPr>
                <w:rFonts w:ascii="Arial" w:hAnsi="Arial" w:cs="Arial"/>
              </w:rPr>
              <w:t>100%</w:t>
            </w:r>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0.4 – 2 hectares</w:t>
            </w:r>
          </w:p>
        </w:tc>
        <w:tc>
          <w:tcPr>
            <w:tcW w:w="4536" w:type="dxa"/>
          </w:tcPr>
          <w:p w:rsidR="009A1B03" w:rsidRPr="00E75A7A" w:rsidRDefault="009A1B03" w:rsidP="004609E5">
            <w:pPr>
              <w:rPr>
                <w:rFonts w:ascii="Arial" w:hAnsi="Arial" w:cs="Arial"/>
              </w:rPr>
            </w:pPr>
            <w:r w:rsidRPr="00E75A7A">
              <w:rPr>
                <w:rFonts w:ascii="Arial" w:hAnsi="Arial" w:cs="Arial"/>
              </w:rPr>
              <w:t>85%</w:t>
            </w:r>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2 – 10 hectares</w:t>
            </w:r>
          </w:p>
        </w:tc>
        <w:tc>
          <w:tcPr>
            <w:tcW w:w="4536" w:type="dxa"/>
          </w:tcPr>
          <w:p w:rsidR="009A1B03" w:rsidRPr="00E75A7A" w:rsidRDefault="009A1B03" w:rsidP="004609E5">
            <w:pPr>
              <w:rPr>
                <w:rFonts w:ascii="Arial" w:hAnsi="Arial" w:cs="Arial"/>
              </w:rPr>
            </w:pPr>
            <w:r w:rsidRPr="00E75A7A">
              <w:rPr>
                <w:rFonts w:ascii="Arial" w:hAnsi="Arial" w:cs="Arial"/>
              </w:rPr>
              <w:t>75%</w:t>
            </w:r>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10 hectares or larger</w:t>
            </w:r>
          </w:p>
        </w:tc>
        <w:tc>
          <w:tcPr>
            <w:tcW w:w="4536" w:type="dxa"/>
          </w:tcPr>
          <w:p w:rsidR="009A1B03" w:rsidRPr="00E75A7A" w:rsidRDefault="009A1B03" w:rsidP="004609E5">
            <w:pPr>
              <w:rPr>
                <w:rFonts w:ascii="Arial" w:hAnsi="Arial" w:cs="Arial"/>
              </w:rPr>
            </w:pPr>
            <w:r w:rsidRPr="00E75A7A">
              <w:rPr>
                <w:rFonts w:ascii="Arial" w:hAnsi="Arial" w:cs="Arial"/>
              </w:rPr>
              <w:t>60%</w:t>
            </w:r>
          </w:p>
        </w:tc>
      </w:tr>
    </w:tbl>
    <w:p w:rsidR="009A1B03" w:rsidRPr="00E75A7A" w:rsidRDefault="009A1B03" w:rsidP="009A1B03">
      <w:pPr>
        <w:pStyle w:val="ListParagraph"/>
        <w:ind w:left="0"/>
        <w:rPr>
          <w:rFonts w:ascii="Arial" w:hAnsi="Arial" w:cs="Arial"/>
        </w:rPr>
      </w:pPr>
    </w:p>
    <w:p w:rsidR="009A1B03" w:rsidRPr="00E75A7A" w:rsidRDefault="009A1B03" w:rsidP="009A1B03">
      <w:pPr>
        <w:spacing w:after="0"/>
        <w:ind w:firstLine="720"/>
        <w:rPr>
          <w:rFonts w:ascii="Arial" w:hAnsi="Arial" w:cs="Arial"/>
        </w:rPr>
      </w:pPr>
      <w:r w:rsidRPr="00E75A7A">
        <w:rPr>
          <w:rFonts w:ascii="Arial" w:hAnsi="Arial" w:cs="Arial"/>
          <w:b/>
        </w:rPr>
        <w:t>Table 2: Site Capacity Assumptions</w:t>
      </w:r>
    </w:p>
    <w:tbl>
      <w:tblPr>
        <w:tblStyle w:val="TableGrid"/>
        <w:tblW w:w="8930" w:type="dxa"/>
        <w:tblInd w:w="704" w:type="dxa"/>
        <w:tblLook w:val="04A0" w:firstRow="1" w:lastRow="0" w:firstColumn="1" w:lastColumn="0" w:noHBand="0" w:noVBand="1"/>
      </w:tblPr>
      <w:tblGrid>
        <w:gridCol w:w="4394"/>
        <w:gridCol w:w="4536"/>
      </w:tblGrid>
      <w:tr w:rsidR="009A1B03" w:rsidRPr="00E75A7A" w:rsidTr="004609E5">
        <w:tc>
          <w:tcPr>
            <w:tcW w:w="4394" w:type="dxa"/>
            <w:shd w:val="clear" w:color="auto" w:fill="2E74B5" w:themeFill="accent1" w:themeFillShade="BF"/>
          </w:tcPr>
          <w:p w:rsidR="009A1B03" w:rsidRPr="00E75A7A" w:rsidRDefault="009A1B03" w:rsidP="004609E5">
            <w:pPr>
              <w:rPr>
                <w:rFonts w:ascii="Arial" w:hAnsi="Arial" w:cs="Arial"/>
                <w:color w:val="FFFFFF" w:themeColor="background1"/>
              </w:rPr>
            </w:pPr>
            <w:r w:rsidRPr="00E75A7A">
              <w:rPr>
                <w:rFonts w:ascii="Arial" w:hAnsi="Arial" w:cs="Arial"/>
                <w:color w:val="FFFFFF" w:themeColor="background1"/>
              </w:rPr>
              <w:t>Settlement Hierarchy Category</w:t>
            </w:r>
          </w:p>
        </w:tc>
        <w:tc>
          <w:tcPr>
            <w:tcW w:w="4536" w:type="dxa"/>
            <w:shd w:val="clear" w:color="auto" w:fill="2E74B5" w:themeFill="accent1" w:themeFillShade="BF"/>
          </w:tcPr>
          <w:p w:rsidR="009A1B03" w:rsidRPr="00E75A7A" w:rsidRDefault="009A1B03" w:rsidP="004609E5">
            <w:pPr>
              <w:rPr>
                <w:rFonts w:ascii="Arial" w:hAnsi="Arial" w:cs="Arial"/>
                <w:color w:val="FFFFFF" w:themeColor="background1"/>
              </w:rPr>
            </w:pPr>
            <w:r w:rsidRPr="00E75A7A">
              <w:rPr>
                <w:rFonts w:ascii="Arial" w:hAnsi="Arial" w:cs="Arial"/>
                <w:color w:val="FFFFFF" w:themeColor="background1"/>
              </w:rPr>
              <w:t>Density Assumption (dwellings per hectare)</w:t>
            </w:r>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Lincoln City Centre (within 1km of railway station)</w:t>
            </w:r>
          </w:p>
        </w:tc>
        <w:tc>
          <w:tcPr>
            <w:tcW w:w="4536" w:type="dxa"/>
          </w:tcPr>
          <w:p w:rsidR="009A1B03" w:rsidRPr="00E75A7A" w:rsidRDefault="009A1B03" w:rsidP="004609E5">
            <w:pPr>
              <w:rPr>
                <w:rFonts w:ascii="Arial" w:hAnsi="Arial" w:cs="Arial"/>
              </w:rPr>
            </w:pPr>
            <w:r w:rsidRPr="00E75A7A">
              <w:rPr>
                <w:rFonts w:ascii="Arial" w:hAnsi="Arial" w:cs="Arial"/>
              </w:rPr>
              <w:t xml:space="preserve">90 </w:t>
            </w:r>
            <w:proofErr w:type="spellStart"/>
            <w:r w:rsidRPr="00E75A7A">
              <w:rPr>
                <w:rFonts w:ascii="Arial" w:hAnsi="Arial" w:cs="Arial"/>
              </w:rPr>
              <w:t>dph</w:t>
            </w:r>
            <w:proofErr w:type="spellEnd"/>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Wider Lincoln Urban Area</w:t>
            </w:r>
          </w:p>
        </w:tc>
        <w:tc>
          <w:tcPr>
            <w:tcW w:w="4536" w:type="dxa"/>
          </w:tcPr>
          <w:p w:rsidR="009A1B03" w:rsidRPr="00E75A7A" w:rsidRDefault="009A1B03" w:rsidP="004609E5">
            <w:pPr>
              <w:rPr>
                <w:rFonts w:ascii="Arial" w:hAnsi="Arial" w:cs="Arial"/>
              </w:rPr>
            </w:pPr>
            <w:r w:rsidRPr="00E75A7A">
              <w:rPr>
                <w:rFonts w:ascii="Arial" w:hAnsi="Arial" w:cs="Arial"/>
              </w:rPr>
              <w:t xml:space="preserve">40 </w:t>
            </w:r>
            <w:proofErr w:type="spellStart"/>
            <w:r w:rsidRPr="00E75A7A">
              <w:rPr>
                <w:rFonts w:ascii="Arial" w:hAnsi="Arial" w:cs="Arial"/>
              </w:rPr>
              <w:t>dph</w:t>
            </w:r>
            <w:proofErr w:type="spellEnd"/>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Town centres</w:t>
            </w:r>
          </w:p>
        </w:tc>
        <w:tc>
          <w:tcPr>
            <w:tcW w:w="4536" w:type="dxa"/>
          </w:tcPr>
          <w:p w:rsidR="009A1B03" w:rsidRPr="00E75A7A" w:rsidRDefault="009A1B03" w:rsidP="004609E5">
            <w:pPr>
              <w:rPr>
                <w:rFonts w:ascii="Arial" w:hAnsi="Arial" w:cs="Arial"/>
              </w:rPr>
            </w:pPr>
            <w:r w:rsidRPr="00E75A7A">
              <w:rPr>
                <w:rFonts w:ascii="Arial" w:hAnsi="Arial" w:cs="Arial"/>
              </w:rPr>
              <w:t xml:space="preserve">50 </w:t>
            </w:r>
            <w:proofErr w:type="spellStart"/>
            <w:r w:rsidRPr="00E75A7A">
              <w:rPr>
                <w:rFonts w:ascii="Arial" w:hAnsi="Arial" w:cs="Arial"/>
              </w:rPr>
              <w:t>dph</w:t>
            </w:r>
            <w:proofErr w:type="spellEnd"/>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Town suburbs</w:t>
            </w:r>
          </w:p>
        </w:tc>
        <w:tc>
          <w:tcPr>
            <w:tcW w:w="4536" w:type="dxa"/>
          </w:tcPr>
          <w:p w:rsidR="009A1B03" w:rsidRPr="00E75A7A" w:rsidRDefault="009A1B03" w:rsidP="004609E5">
            <w:pPr>
              <w:rPr>
                <w:rFonts w:ascii="Arial" w:hAnsi="Arial" w:cs="Arial"/>
              </w:rPr>
            </w:pPr>
            <w:r w:rsidRPr="00E75A7A">
              <w:rPr>
                <w:rFonts w:ascii="Arial" w:hAnsi="Arial" w:cs="Arial"/>
              </w:rPr>
              <w:t xml:space="preserve">35 </w:t>
            </w:r>
            <w:proofErr w:type="spellStart"/>
            <w:r w:rsidRPr="00E75A7A">
              <w:rPr>
                <w:rFonts w:ascii="Arial" w:hAnsi="Arial" w:cs="Arial"/>
              </w:rPr>
              <w:t>dph</w:t>
            </w:r>
            <w:proofErr w:type="spellEnd"/>
          </w:p>
        </w:tc>
      </w:tr>
      <w:tr w:rsidR="009A1B03" w:rsidRPr="00E75A7A" w:rsidTr="004609E5">
        <w:tc>
          <w:tcPr>
            <w:tcW w:w="4394" w:type="dxa"/>
          </w:tcPr>
          <w:p w:rsidR="009A1B03" w:rsidRPr="00E75A7A" w:rsidRDefault="009A1B03" w:rsidP="004609E5">
            <w:pPr>
              <w:rPr>
                <w:rFonts w:ascii="Arial" w:hAnsi="Arial" w:cs="Arial"/>
              </w:rPr>
            </w:pPr>
            <w:r w:rsidRPr="00E75A7A">
              <w:rPr>
                <w:rFonts w:ascii="Arial" w:hAnsi="Arial" w:cs="Arial"/>
              </w:rPr>
              <w:t>Villages</w:t>
            </w:r>
          </w:p>
        </w:tc>
        <w:tc>
          <w:tcPr>
            <w:tcW w:w="4536" w:type="dxa"/>
          </w:tcPr>
          <w:p w:rsidR="009A1B03" w:rsidRPr="00E75A7A" w:rsidRDefault="009A1B03" w:rsidP="004609E5">
            <w:pPr>
              <w:rPr>
                <w:rFonts w:ascii="Arial" w:hAnsi="Arial" w:cs="Arial"/>
              </w:rPr>
            </w:pPr>
            <w:r w:rsidRPr="00E75A7A">
              <w:rPr>
                <w:rFonts w:ascii="Arial" w:hAnsi="Arial" w:cs="Arial"/>
              </w:rPr>
              <w:t xml:space="preserve">30 </w:t>
            </w:r>
            <w:proofErr w:type="spellStart"/>
            <w:r w:rsidRPr="00E75A7A">
              <w:rPr>
                <w:rFonts w:ascii="Arial" w:hAnsi="Arial" w:cs="Arial"/>
              </w:rPr>
              <w:t>dph</w:t>
            </w:r>
            <w:proofErr w:type="spellEnd"/>
          </w:p>
        </w:tc>
      </w:tr>
    </w:tbl>
    <w:p w:rsidR="009A1B03" w:rsidRPr="00E75A7A" w:rsidRDefault="009A1B03" w:rsidP="009A1B03">
      <w:pPr>
        <w:pStyle w:val="ListParagraph"/>
        <w:ind w:left="0"/>
        <w:rPr>
          <w:rFonts w:ascii="Arial" w:hAnsi="Arial" w:cs="Arial"/>
        </w:rPr>
      </w:pPr>
    </w:p>
    <w:p w:rsidR="009A1B03" w:rsidRPr="00E75A7A" w:rsidRDefault="009A1B03" w:rsidP="009A1B03">
      <w:pPr>
        <w:pStyle w:val="ListParagraph"/>
        <w:ind w:left="0"/>
        <w:rPr>
          <w:rFonts w:ascii="Arial" w:hAnsi="Arial" w:cs="Arial"/>
        </w:rPr>
      </w:pPr>
    </w:p>
    <w:p w:rsidR="009A1B03" w:rsidRDefault="009A1B03" w:rsidP="009A1B03">
      <w:pPr>
        <w:pStyle w:val="ListParagraph"/>
        <w:ind w:left="360" w:firstLine="349"/>
        <w:rPr>
          <w:rFonts w:ascii="Arial" w:hAnsi="Arial" w:cs="Arial"/>
          <w:b/>
        </w:rPr>
      </w:pPr>
      <w:r w:rsidRPr="00E75A7A">
        <w:rPr>
          <w:rFonts w:ascii="Arial" w:hAnsi="Arial" w:cs="Arial"/>
          <w:b/>
        </w:rPr>
        <w:t>Assessing Suitability</w:t>
      </w:r>
    </w:p>
    <w:p w:rsidR="009A1B03" w:rsidRDefault="009A1B03" w:rsidP="009A1B03">
      <w:pPr>
        <w:pStyle w:val="ListParagraph"/>
        <w:numPr>
          <w:ilvl w:val="1"/>
          <w:numId w:val="2"/>
        </w:numPr>
        <w:ind w:left="709" w:hanging="709"/>
        <w:rPr>
          <w:rFonts w:ascii="Arial" w:hAnsi="Arial" w:cs="Arial"/>
        </w:rPr>
      </w:pPr>
      <w:r w:rsidRPr="00E76A4B">
        <w:rPr>
          <w:rFonts w:ascii="Arial" w:hAnsi="Arial" w:cs="Arial"/>
        </w:rPr>
        <w:t>As part of the site allocation assessment</w:t>
      </w:r>
      <w:r>
        <w:rPr>
          <w:rFonts w:ascii="Arial" w:hAnsi="Arial" w:cs="Arial"/>
        </w:rPr>
        <w:t>,</w:t>
      </w:r>
      <w:r w:rsidRPr="00E76A4B">
        <w:rPr>
          <w:rFonts w:ascii="Arial" w:hAnsi="Arial" w:cs="Arial"/>
        </w:rPr>
        <w:t xml:space="preserve"> the location of each site will be assessed to identify whether it is in an appropriate location to contribute to sustainable development. Once this has been identified, the constraints identified during the desktop review, along with the site survey will be used to assess the suitability of a site. Physical limitations of a site such as issues with accessing the site, the </w:t>
      </w:r>
      <w:r>
        <w:rPr>
          <w:rFonts w:ascii="Arial" w:hAnsi="Arial" w:cs="Arial"/>
        </w:rPr>
        <w:t>utilities</w:t>
      </w:r>
      <w:r w:rsidRPr="00E76A4B">
        <w:rPr>
          <w:rFonts w:ascii="Arial" w:hAnsi="Arial" w:cs="Arial"/>
        </w:rPr>
        <w:t xml:space="preserve"> available, ground conditions, potential contamination, hazardous risks and flood risk will all be taken into account. Following on from any physical constraints, potential impacts on heritage assets, the landscape, local and national</w:t>
      </w:r>
      <w:r w:rsidRPr="00E75A7A">
        <w:rPr>
          <w:rFonts w:ascii="Arial" w:hAnsi="Arial" w:cs="Arial"/>
        </w:rPr>
        <w:t xml:space="preserve"> wildlife sites will be assessed. The </w:t>
      </w:r>
      <w:r>
        <w:rPr>
          <w:rFonts w:ascii="Arial" w:hAnsi="Arial" w:cs="Arial"/>
        </w:rPr>
        <w:t xml:space="preserve">potential for </w:t>
      </w:r>
      <w:r w:rsidRPr="00E75A7A">
        <w:rPr>
          <w:rFonts w:ascii="Arial" w:hAnsi="Arial" w:cs="Arial"/>
        </w:rPr>
        <w:t xml:space="preserve">a site </w:t>
      </w:r>
      <w:r>
        <w:rPr>
          <w:rFonts w:ascii="Arial" w:hAnsi="Arial" w:cs="Arial"/>
        </w:rPr>
        <w:t xml:space="preserve">to contribute to </w:t>
      </w:r>
      <w:r w:rsidRPr="00E75A7A">
        <w:rPr>
          <w:rFonts w:ascii="Arial" w:hAnsi="Arial" w:cs="Arial"/>
        </w:rPr>
        <w:t>the regeneration of an area will also be considered in the assessment f</w:t>
      </w:r>
      <w:r>
        <w:rPr>
          <w:rFonts w:ascii="Arial" w:hAnsi="Arial" w:cs="Arial"/>
        </w:rPr>
        <w:t xml:space="preserve">or how suitable a site is for </w:t>
      </w:r>
      <w:r w:rsidRPr="00E75A7A">
        <w:rPr>
          <w:rFonts w:ascii="Arial" w:hAnsi="Arial" w:cs="Arial"/>
        </w:rPr>
        <w:t>development.</w:t>
      </w:r>
    </w:p>
    <w:p w:rsidR="009A1B03" w:rsidRDefault="009A1B03" w:rsidP="009A1B03">
      <w:pPr>
        <w:pStyle w:val="ListParagraph"/>
        <w:ind w:left="709"/>
        <w:rPr>
          <w:rFonts w:ascii="Arial" w:hAnsi="Arial" w:cs="Arial"/>
        </w:rPr>
      </w:pPr>
    </w:p>
    <w:p w:rsidR="009A1B03" w:rsidRPr="00E75A7A" w:rsidRDefault="009A1B03" w:rsidP="009A1B03">
      <w:pPr>
        <w:pStyle w:val="ListParagraph"/>
        <w:ind w:left="709"/>
        <w:rPr>
          <w:rFonts w:ascii="Arial" w:hAnsi="Arial" w:cs="Arial"/>
        </w:rPr>
      </w:pPr>
    </w:p>
    <w:p w:rsidR="009A1B03" w:rsidRPr="00C05ACC" w:rsidRDefault="009A1B03" w:rsidP="009A1B03">
      <w:pPr>
        <w:pStyle w:val="ListParagraph"/>
        <w:ind w:left="360" w:firstLine="349"/>
        <w:rPr>
          <w:rFonts w:ascii="Arial" w:hAnsi="Arial" w:cs="Arial"/>
        </w:rPr>
      </w:pPr>
      <w:r w:rsidRPr="00C05ACC">
        <w:rPr>
          <w:rFonts w:ascii="Arial" w:hAnsi="Arial" w:cs="Arial"/>
          <w:b/>
        </w:rPr>
        <w:t>Assessing Availability</w:t>
      </w:r>
    </w:p>
    <w:p w:rsidR="009A1B03" w:rsidRPr="00C05ACC" w:rsidRDefault="009A1B03" w:rsidP="009A1B03">
      <w:pPr>
        <w:pStyle w:val="ListParagraph"/>
        <w:numPr>
          <w:ilvl w:val="1"/>
          <w:numId w:val="2"/>
        </w:numPr>
        <w:ind w:left="709" w:hanging="709"/>
        <w:rPr>
          <w:rFonts w:ascii="Arial" w:hAnsi="Arial" w:cs="Arial"/>
        </w:rPr>
      </w:pPr>
      <w:r w:rsidRPr="00C05ACC">
        <w:rPr>
          <w:rFonts w:ascii="Arial" w:hAnsi="Arial" w:cs="Arial"/>
        </w:rPr>
        <w:t>The PPG considers a site to be ‘available’ for development when, on the best information available, there is confidence that the</w:t>
      </w:r>
      <w:r w:rsidR="00DB318C">
        <w:rPr>
          <w:rFonts w:ascii="Arial" w:hAnsi="Arial" w:cs="Arial"/>
        </w:rPr>
        <w:t>re are no legal or ownership impediments to development. Sites meeting the definition of deliverable should be considered available unless evidence indicates otherwise</w:t>
      </w:r>
      <w:r w:rsidRPr="00C05ACC">
        <w:rPr>
          <w:rStyle w:val="FootnoteReference"/>
          <w:rFonts w:ascii="Arial" w:hAnsi="Arial" w:cs="Arial"/>
        </w:rPr>
        <w:footnoteReference w:id="6"/>
      </w:r>
      <w:r w:rsidRPr="00C05ACC">
        <w:rPr>
          <w:rFonts w:ascii="Arial" w:hAnsi="Arial" w:cs="Arial"/>
        </w:rPr>
        <w:t>. All sites that have been included have been suggested by landowners, planning agents on behalf of landowners or developers who have an interest in the site. Confirmation as to whether the site is in multiple ownership or single ownership has also been sought. Timescales of when a site will be available and for what use the site is being promoted for has also be identified for each site. This information will be used to assess the availability of a site.</w:t>
      </w:r>
    </w:p>
    <w:p w:rsidR="009A1B03" w:rsidRPr="00C05ACC" w:rsidRDefault="009A1B03" w:rsidP="009A1B03">
      <w:pPr>
        <w:pStyle w:val="ListParagraph"/>
        <w:ind w:left="0"/>
        <w:rPr>
          <w:rFonts w:ascii="Arial" w:hAnsi="Arial" w:cs="Arial"/>
        </w:rPr>
      </w:pPr>
    </w:p>
    <w:p w:rsidR="009A1B03" w:rsidRPr="00C05ACC" w:rsidRDefault="009A1B03" w:rsidP="009A1B03">
      <w:pPr>
        <w:pStyle w:val="ListParagraph"/>
        <w:ind w:left="360" w:firstLine="349"/>
        <w:rPr>
          <w:rFonts w:ascii="Arial" w:hAnsi="Arial" w:cs="Arial"/>
          <w:b/>
        </w:rPr>
      </w:pPr>
      <w:r w:rsidRPr="00E75A7A">
        <w:rPr>
          <w:rFonts w:ascii="Arial" w:hAnsi="Arial" w:cs="Arial"/>
          <w:b/>
        </w:rPr>
        <w:t>Assessing Achievability</w:t>
      </w:r>
    </w:p>
    <w:p w:rsidR="009A1B03" w:rsidRPr="00E75A7A" w:rsidRDefault="009A1B03" w:rsidP="009A1B03">
      <w:pPr>
        <w:pStyle w:val="ListParagraph"/>
        <w:numPr>
          <w:ilvl w:val="1"/>
          <w:numId w:val="2"/>
        </w:numPr>
        <w:ind w:left="709" w:hanging="709"/>
        <w:rPr>
          <w:rFonts w:ascii="Arial" w:hAnsi="Arial" w:cs="Arial"/>
        </w:rPr>
      </w:pPr>
      <w:r w:rsidRPr="00E75A7A">
        <w:rPr>
          <w:rFonts w:ascii="Arial" w:hAnsi="Arial" w:cs="Arial"/>
        </w:rPr>
        <w:t>For a site to be considered achievable, and therefore deliverable, there should be a ‘reasonable</w:t>
      </w:r>
      <w:r w:rsidR="00DB318C">
        <w:rPr>
          <w:rFonts w:ascii="Arial" w:hAnsi="Arial" w:cs="Arial"/>
        </w:rPr>
        <w:t>’ prospect that the particular type of development will be developed on the site at a particular point in time</w:t>
      </w:r>
      <w:r w:rsidRPr="00E75A7A">
        <w:rPr>
          <w:rStyle w:val="FootnoteReference"/>
          <w:rFonts w:ascii="Arial" w:hAnsi="Arial" w:cs="Arial"/>
        </w:rPr>
        <w:footnoteReference w:id="7"/>
      </w:r>
      <w:r w:rsidRPr="00E75A7A">
        <w:rPr>
          <w:rFonts w:ascii="Arial" w:hAnsi="Arial" w:cs="Arial"/>
        </w:rPr>
        <w:t>. This is a judgement about the economic viabi</w:t>
      </w:r>
      <w:r w:rsidR="00DB318C">
        <w:rPr>
          <w:rFonts w:ascii="Arial" w:hAnsi="Arial" w:cs="Arial"/>
        </w:rPr>
        <w:t>lity of the site and the capacity</w:t>
      </w:r>
      <w:r w:rsidRPr="00E75A7A">
        <w:rPr>
          <w:rFonts w:ascii="Arial" w:hAnsi="Arial" w:cs="Arial"/>
        </w:rPr>
        <w:t xml:space="preserve"> of the developer to complete and </w:t>
      </w:r>
      <w:r w:rsidR="00DB318C">
        <w:rPr>
          <w:rFonts w:ascii="Arial" w:hAnsi="Arial" w:cs="Arial"/>
        </w:rPr>
        <w:t>let or sell the development</w:t>
      </w:r>
      <w:r w:rsidR="0027218B">
        <w:rPr>
          <w:rFonts w:ascii="Arial" w:hAnsi="Arial" w:cs="Arial"/>
        </w:rPr>
        <w:t xml:space="preserve"> </w:t>
      </w:r>
      <w:r w:rsidRPr="00E75A7A">
        <w:rPr>
          <w:rFonts w:ascii="Arial" w:hAnsi="Arial" w:cs="Arial"/>
        </w:rPr>
        <w:t>over a certain period. Details of viability were requested on the site suggestion form and confirmation as to whether a viability assessment has been completed or not and the outcome of that assessment. This information is identified for each site and will be used to assess the achievability of a site.</w:t>
      </w:r>
    </w:p>
    <w:p w:rsidR="009A1B03" w:rsidRPr="00E75A7A" w:rsidRDefault="009A1B03" w:rsidP="009A1B03">
      <w:pPr>
        <w:pStyle w:val="ListParagraph"/>
        <w:ind w:left="0"/>
        <w:rPr>
          <w:rFonts w:ascii="Arial" w:hAnsi="Arial" w:cs="Arial"/>
        </w:rPr>
      </w:pPr>
    </w:p>
    <w:p w:rsidR="009A1B03" w:rsidRPr="00C05ACC" w:rsidRDefault="009A1B03" w:rsidP="009A1B03">
      <w:pPr>
        <w:pStyle w:val="ListParagraph"/>
        <w:ind w:left="360" w:firstLine="349"/>
        <w:rPr>
          <w:rFonts w:ascii="Arial" w:hAnsi="Arial" w:cs="Arial"/>
          <w:b/>
        </w:rPr>
      </w:pPr>
      <w:r w:rsidRPr="00E75A7A">
        <w:rPr>
          <w:rFonts w:ascii="Arial" w:hAnsi="Arial" w:cs="Arial"/>
          <w:b/>
        </w:rPr>
        <w:t>Overcoming Constraints</w:t>
      </w:r>
    </w:p>
    <w:p w:rsidR="009A1B03" w:rsidRPr="00C05ACC" w:rsidRDefault="009A1B03" w:rsidP="009A1B03">
      <w:pPr>
        <w:pStyle w:val="ListParagraph"/>
        <w:numPr>
          <w:ilvl w:val="1"/>
          <w:numId w:val="2"/>
        </w:numPr>
        <w:ind w:left="709" w:hanging="709"/>
        <w:rPr>
          <w:rFonts w:ascii="Arial" w:hAnsi="Arial" w:cs="Arial"/>
        </w:rPr>
      </w:pPr>
      <w:r w:rsidRPr="00E75A7A">
        <w:rPr>
          <w:rFonts w:ascii="Arial" w:hAnsi="Arial" w:cs="Arial"/>
        </w:rPr>
        <w:t xml:space="preserve">Where constraints are identified through the assessments of suitability, availability and achievability, consideration needs to be given to what is needed to overcome them. In the </w:t>
      </w:r>
      <w:r>
        <w:rPr>
          <w:rFonts w:ascii="Arial" w:hAnsi="Arial" w:cs="Arial"/>
        </w:rPr>
        <w:t xml:space="preserve">assessment of </w:t>
      </w:r>
      <w:r w:rsidRPr="00E75A7A">
        <w:rPr>
          <w:rFonts w:ascii="Arial" w:hAnsi="Arial" w:cs="Arial"/>
        </w:rPr>
        <w:t>site</w:t>
      </w:r>
      <w:r>
        <w:rPr>
          <w:rFonts w:ascii="Arial" w:hAnsi="Arial" w:cs="Arial"/>
        </w:rPr>
        <w:t>s being considered for</w:t>
      </w:r>
      <w:r w:rsidRPr="00E75A7A">
        <w:rPr>
          <w:rFonts w:ascii="Arial" w:hAnsi="Arial" w:cs="Arial"/>
        </w:rPr>
        <w:t xml:space="preserve"> allocation, </w:t>
      </w:r>
      <w:r>
        <w:rPr>
          <w:rFonts w:ascii="Arial" w:hAnsi="Arial" w:cs="Arial"/>
        </w:rPr>
        <w:t xml:space="preserve">consideration will be given to </w:t>
      </w:r>
      <w:r w:rsidRPr="00E75A7A">
        <w:rPr>
          <w:rFonts w:ascii="Arial" w:hAnsi="Arial" w:cs="Arial"/>
        </w:rPr>
        <w:t xml:space="preserve">what intervention or mitigation </w:t>
      </w:r>
      <w:r>
        <w:rPr>
          <w:rFonts w:ascii="Arial" w:hAnsi="Arial" w:cs="Arial"/>
        </w:rPr>
        <w:t>may be required to bring forward a site</w:t>
      </w:r>
      <w:r w:rsidRPr="00E75A7A">
        <w:rPr>
          <w:rFonts w:ascii="Arial" w:hAnsi="Arial" w:cs="Arial"/>
        </w:rPr>
        <w:t>,</w:t>
      </w:r>
      <w:r>
        <w:rPr>
          <w:rFonts w:ascii="Arial" w:hAnsi="Arial" w:cs="Arial"/>
        </w:rPr>
        <w:t xml:space="preserve"> such as</w:t>
      </w:r>
      <w:r w:rsidRPr="00E75A7A">
        <w:rPr>
          <w:rFonts w:ascii="Arial" w:hAnsi="Arial" w:cs="Arial"/>
        </w:rPr>
        <w:t xml:space="preserve"> whether there is a need for new infrastructure</w:t>
      </w:r>
      <w:r>
        <w:rPr>
          <w:rFonts w:ascii="Arial" w:hAnsi="Arial" w:cs="Arial"/>
        </w:rPr>
        <w:t>, equalisation agreements or specific design solutions for example,</w:t>
      </w:r>
      <w:r w:rsidRPr="00E75A7A">
        <w:rPr>
          <w:rFonts w:ascii="Arial" w:hAnsi="Arial" w:cs="Arial"/>
        </w:rPr>
        <w:t xml:space="preserve"> and this will be taken into account in the full assessment of a site.</w:t>
      </w:r>
    </w:p>
    <w:p w:rsidR="009A1B03" w:rsidRPr="00E75A7A" w:rsidRDefault="009A1B03" w:rsidP="009A1B03">
      <w:pPr>
        <w:pStyle w:val="ListParagraph"/>
        <w:ind w:left="0"/>
        <w:rPr>
          <w:rFonts w:ascii="Arial" w:hAnsi="Arial" w:cs="Arial"/>
        </w:rPr>
      </w:pPr>
    </w:p>
    <w:p w:rsidR="009A1B03" w:rsidRPr="005E72DD" w:rsidRDefault="009A1B03" w:rsidP="009A1B03">
      <w:pPr>
        <w:pStyle w:val="Heading2"/>
        <w:ind w:firstLine="709"/>
      </w:pPr>
      <w:r w:rsidRPr="00C05ACC">
        <w:t>Stage 3 – Windfall Assessment</w:t>
      </w:r>
    </w:p>
    <w:p w:rsidR="009A1B03" w:rsidRPr="00E75A7A" w:rsidRDefault="009A1B03" w:rsidP="009A1B03">
      <w:pPr>
        <w:pStyle w:val="ListParagraph"/>
        <w:numPr>
          <w:ilvl w:val="1"/>
          <w:numId w:val="2"/>
        </w:numPr>
        <w:ind w:left="709" w:hanging="709"/>
        <w:rPr>
          <w:rFonts w:ascii="Arial" w:hAnsi="Arial" w:cs="Arial"/>
        </w:rPr>
      </w:pPr>
      <w:r w:rsidRPr="00E75A7A">
        <w:rPr>
          <w:rFonts w:ascii="Arial" w:hAnsi="Arial" w:cs="Arial"/>
        </w:rPr>
        <w:t>The NPPF and PPG identify that a windfall allowance may be justified in the five year supply of land if there is compelling evidence that they will provide a reliable source of supply</w:t>
      </w:r>
      <w:r w:rsidRPr="00E75A7A">
        <w:rPr>
          <w:rStyle w:val="FootnoteReference"/>
          <w:rFonts w:ascii="Arial" w:hAnsi="Arial" w:cs="Arial"/>
        </w:rPr>
        <w:footnoteReference w:id="8"/>
      </w:r>
      <w:r w:rsidRPr="00E75A7A">
        <w:rPr>
          <w:rFonts w:ascii="Arial" w:hAnsi="Arial" w:cs="Arial"/>
        </w:rPr>
        <w:t xml:space="preserve">. The assessment of the contribution that windfall developments make to the land supply across Central Lincolnshire is identified and presented annually in the Five Year Land Supply Report which is available at </w:t>
      </w:r>
      <w:hyperlink r:id="rId10" w:history="1">
        <w:r w:rsidRPr="00E75A7A">
          <w:rPr>
            <w:rStyle w:val="Hyperlink"/>
            <w:rFonts w:ascii="Arial" w:hAnsi="Arial" w:cs="Arial"/>
          </w:rPr>
          <w:t>www.central-lincs.org.uk</w:t>
        </w:r>
      </w:hyperlink>
      <w:r w:rsidRPr="00E75A7A">
        <w:rPr>
          <w:rFonts w:ascii="Arial" w:hAnsi="Arial" w:cs="Arial"/>
        </w:rPr>
        <w:t>.</w:t>
      </w:r>
    </w:p>
    <w:p w:rsidR="009A1B03" w:rsidRPr="00E75A7A" w:rsidRDefault="009A1B03" w:rsidP="009A1B03">
      <w:pPr>
        <w:pStyle w:val="ListParagraph"/>
        <w:rPr>
          <w:rFonts w:ascii="Arial" w:hAnsi="Arial" w:cs="Arial"/>
        </w:rPr>
      </w:pPr>
    </w:p>
    <w:p w:rsidR="009A1B03" w:rsidRPr="005E72DD" w:rsidRDefault="009A1B03" w:rsidP="009A1B03">
      <w:pPr>
        <w:pStyle w:val="Heading2"/>
        <w:ind w:firstLine="709"/>
      </w:pPr>
      <w:r w:rsidRPr="005E72DD">
        <w:t xml:space="preserve">Stage 4 – Assessment Review </w:t>
      </w:r>
    </w:p>
    <w:p w:rsidR="009A1B03" w:rsidRPr="00B577DD" w:rsidRDefault="009A1B03" w:rsidP="00B577DD">
      <w:pPr>
        <w:pStyle w:val="ListParagraph"/>
        <w:numPr>
          <w:ilvl w:val="1"/>
          <w:numId w:val="2"/>
        </w:numPr>
        <w:ind w:left="709" w:hanging="709"/>
        <w:rPr>
          <w:rFonts w:ascii="Arial" w:hAnsi="Arial" w:cs="Arial"/>
        </w:rPr>
      </w:pPr>
      <w:r w:rsidRPr="005E72DD">
        <w:rPr>
          <w:rFonts w:ascii="Arial" w:hAnsi="Arial" w:cs="Arial"/>
        </w:rPr>
        <w:t>The PPG identifies that once all the sites have been assessed</w:t>
      </w:r>
      <w:r>
        <w:rPr>
          <w:rFonts w:ascii="Arial" w:hAnsi="Arial" w:cs="Arial"/>
        </w:rPr>
        <w:t xml:space="preserve">, </w:t>
      </w:r>
      <w:r w:rsidRPr="005E72DD">
        <w:rPr>
          <w:rFonts w:ascii="Arial" w:hAnsi="Arial" w:cs="Arial"/>
        </w:rPr>
        <w:t xml:space="preserve">an indicative trajectory </w:t>
      </w:r>
      <w:r>
        <w:rPr>
          <w:rFonts w:ascii="Arial" w:hAnsi="Arial" w:cs="Arial"/>
        </w:rPr>
        <w:t>should be produced to identify</w:t>
      </w:r>
      <w:r w:rsidRPr="005E72DD">
        <w:rPr>
          <w:rFonts w:ascii="Arial" w:hAnsi="Arial" w:cs="Arial"/>
        </w:rPr>
        <w:t xml:space="preserve"> how much housing and economic development can be pr</w:t>
      </w:r>
      <w:r w:rsidR="00B577DD">
        <w:rPr>
          <w:rFonts w:ascii="Arial" w:hAnsi="Arial" w:cs="Arial"/>
        </w:rPr>
        <w:t>ovided and at what point in the future</w:t>
      </w:r>
      <w:r w:rsidRPr="00B577DD">
        <w:rPr>
          <w:rFonts w:ascii="Arial" w:hAnsi="Arial" w:cs="Arial"/>
        </w:rPr>
        <w:t>. Once the assessment of each site through stages 1 to 3 of the process is completed, the development potential of sites that are considered suitable, available and achievable will be identified and set out.</w:t>
      </w:r>
    </w:p>
    <w:p w:rsidR="009A1B03" w:rsidRPr="00E75A7A" w:rsidRDefault="009A1B03" w:rsidP="009A1B03">
      <w:pPr>
        <w:ind w:left="720"/>
        <w:rPr>
          <w:rFonts w:ascii="Arial" w:hAnsi="Arial" w:cs="Arial"/>
        </w:rPr>
      </w:pPr>
    </w:p>
    <w:p w:rsidR="009A1B03" w:rsidRPr="005E72DD" w:rsidRDefault="009A1B03" w:rsidP="009A1B03">
      <w:pPr>
        <w:pStyle w:val="Heading2"/>
        <w:ind w:firstLine="709"/>
      </w:pPr>
      <w:r w:rsidRPr="005E72DD">
        <w:lastRenderedPageBreak/>
        <w:t xml:space="preserve">Stage 5 – Evidence Base </w:t>
      </w:r>
    </w:p>
    <w:p w:rsidR="009A1B03" w:rsidRPr="005E72DD" w:rsidRDefault="009A1B03" w:rsidP="009A1B03">
      <w:pPr>
        <w:pStyle w:val="ListParagraph"/>
        <w:numPr>
          <w:ilvl w:val="1"/>
          <w:numId w:val="2"/>
        </w:numPr>
        <w:ind w:left="709" w:hanging="709"/>
        <w:rPr>
          <w:rFonts w:ascii="Arial" w:hAnsi="Arial" w:cs="Arial"/>
        </w:rPr>
      </w:pPr>
      <w:r w:rsidRPr="005E72DD">
        <w:rPr>
          <w:rFonts w:ascii="Arial" w:hAnsi="Arial" w:cs="Arial"/>
        </w:rPr>
        <w:t xml:space="preserve">This HELAA report identifies the sites that are available within Central Lincolnshire at this point in time. It provides the starting point of an evidence base of sites that can be taken through the site allocation assessment methodology to complete a full assessment of the suitability, availability and achievability of each site. </w:t>
      </w:r>
    </w:p>
    <w:p w:rsidR="009A1B03" w:rsidRPr="00E75A7A" w:rsidRDefault="009A1B03" w:rsidP="009A1B03">
      <w:pPr>
        <w:rPr>
          <w:rFonts w:ascii="Arial" w:hAnsi="Arial" w:cs="Arial"/>
        </w:rPr>
      </w:pPr>
    </w:p>
    <w:p w:rsidR="009A1B03" w:rsidRPr="00E75A7A" w:rsidRDefault="009A1B03" w:rsidP="009A1B03">
      <w:pPr>
        <w:pStyle w:val="Heading1"/>
        <w:rPr>
          <w:rFonts w:ascii="Arial" w:hAnsi="Arial" w:cs="Arial"/>
        </w:rPr>
      </w:pPr>
      <w:bookmarkStart w:id="4" w:name="_Toc10209201"/>
      <w:r w:rsidRPr="00E75A7A">
        <w:rPr>
          <w:rFonts w:ascii="Arial" w:hAnsi="Arial" w:cs="Arial"/>
        </w:rPr>
        <w:t>5.0</w:t>
      </w:r>
      <w:r w:rsidRPr="00E75A7A">
        <w:rPr>
          <w:rFonts w:ascii="Arial" w:hAnsi="Arial" w:cs="Arial"/>
        </w:rPr>
        <w:tab/>
        <w:t>Conclusion</w:t>
      </w:r>
      <w:bookmarkEnd w:id="4"/>
    </w:p>
    <w:p w:rsidR="009A1B03" w:rsidRDefault="009A1B03" w:rsidP="009A1B03">
      <w:pPr>
        <w:rPr>
          <w:rFonts w:ascii="Arial" w:hAnsi="Arial" w:cs="Arial"/>
        </w:rPr>
      </w:pPr>
    </w:p>
    <w:p w:rsidR="009A1B03" w:rsidRDefault="009A1B03" w:rsidP="009A1B03">
      <w:pPr>
        <w:ind w:left="720" w:hanging="720"/>
        <w:rPr>
          <w:rFonts w:ascii="Arial" w:hAnsi="Arial" w:cs="Arial"/>
        </w:rPr>
      </w:pPr>
      <w:r>
        <w:rPr>
          <w:rFonts w:ascii="Arial" w:hAnsi="Arial" w:cs="Arial"/>
        </w:rPr>
        <w:t>5.1</w:t>
      </w:r>
      <w:r>
        <w:rPr>
          <w:rFonts w:ascii="Arial" w:hAnsi="Arial" w:cs="Arial"/>
        </w:rPr>
        <w:tab/>
      </w:r>
      <w:r w:rsidRPr="009D2889">
        <w:rPr>
          <w:rFonts w:ascii="Arial" w:hAnsi="Arial" w:cs="Arial"/>
        </w:rPr>
        <w:t xml:space="preserve">This HELAA includes all sites with a threshold of 5 dwellings or more or 0.25 ha of employment land (or 500m² floor area) that are known to the Central Lincolnshire Local Plan Team as available for development. A robust cleanse of the HELAA database during February and March 2019 has provided an up to date position on the current status of the sites identified in terms of their availability and achievability. A desktop constraint check has been completed with current datasets. A unique reference number based on the district and ward/parish is provided for each site and a site location plan accompanies each site on the data sheets identified in </w:t>
      </w:r>
      <w:r>
        <w:rPr>
          <w:rFonts w:ascii="Arial" w:hAnsi="Arial" w:cs="Arial"/>
        </w:rPr>
        <w:t>A</w:t>
      </w:r>
      <w:r w:rsidRPr="009D2889">
        <w:rPr>
          <w:rFonts w:ascii="Arial" w:hAnsi="Arial" w:cs="Arial"/>
        </w:rPr>
        <w:t xml:space="preserve">ppendix </w:t>
      </w:r>
      <w:r w:rsidR="004A719A">
        <w:rPr>
          <w:rFonts w:ascii="Arial" w:hAnsi="Arial" w:cs="Arial"/>
        </w:rPr>
        <w:t>C</w:t>
      </w:r>
      <w:r w:rsidRPr="009D2889">
        <w:rPr>
          <w:rFonts w:ascii="Arial" w:hAnsi="Arial" w:cs="Arial"/>
        </w:rPr>
        <w:t xml:space="preserve">. Of the </w:t>
      </w:r>
      <w:r w:rsidR="00D71797" w:rsidRPr="00D71797">
        <w:rPr>
          <w:rFonts w:ascii="Arial" w:hAnsi="Arial" w:cs="Arial"/>
        </w:rPr>
        <w:t>705</w:t>
      </w:r>
      <w:r w:rsidRPr="009D2889">
        <w:rPr>
          <w:rFonts w:ascii="Arial" w:hAnsi="Arial" w:cs="Arial"/>
        </w:rPr>
        <w:t xml:space="preserve"> site </w:t>
      </w:r>
      <w:r w:rsidR="00D71797">
        <w:rPr>
          <w:rFonts w:ascii="Arial" w:hAnsi="Arial" w:cs="Arial"/>
        </w:rPr>
        <w:t>suggestion forms received, 682</w:t>
      </w:r>
      <w:r w:rsidRPr="009D2889">
        <w:rPr>
          <w:rFonts w:ascii="Arial" w:hAnsi="Arial" w:cs="Arial"/>
        </w:rPr>
        <w:t xml:space="preserve"> sites met the threshold and have been included in the assessment. The HELAA provides an evidence base of sites that are available for development which can be carried forward and assessed through the site all</w:t>
      </w:r>
      <w:r w:rsidR="00B577DD">
        <w:rPr>
          <w:rFonts w:ascii="Arial" w:hAnsi="Arial" w:cs="Arial"/>
        </w:rPr>
        <w:t>ocations assessment process.</w:t>
      </w:r>
    </w:p>
    <w:p w:rsidR="009A1B03" w:rsidRDefault="009A1B03" w:rsidP="009A1B03">
      <w:pPr>
        <w:ind w:left="720" w:hanging="720"/>
        <w:rPr>
          <w:rFonts w:ascii="Arial" w:hAnsi="Arial" w:cs="Arial"/>
        </w:rPr>
      </w:pPr>
      <w:r>
        <w:rPr>
          <w:rFonts w:ascii="Arial" w:hAnsi="Arial" w:cs="Arial"/>
        </w:rPr>
        <w:t>5.2</w:t>
      </w:r>
      <w:r>
        <w:rPr>
          <w:rFonts w:ascii="Arial" w:hAnsi="Arial" w:cs="Arial"/>
        </w:rPr>
        <w:tab/>
        <w:t>It is important to remember that inclusion of sites in this HELAA does not confirm that sites are suitable to come forward for development.  Decisions on which sites will be taken forward for allocation will be made through the Local Plan process.</w:t>
      </w:r>
    </w:p>
    <w:p w:rsidR="00CF4286" w:rsidRDefault="00686729"/>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Pr="00242A67" w:rsidRDefault="00242A67" w:rsidP="00242A67">
      <w:pPr>
        <w:jc w:val="center"/>
        <w:rPr>
          <w:rFonts w:ascii="Arial" w:hAnsi="Arial" w:cs="Arial"/>
          <w:sz w:val="52"/>
          <w:szCs w:val="52"/>
          <w:u w:val="single"/>
        </w:rPr>
      </w:pPr>
      <w:r w:rsidRPr="00242A67">
        <w:rPr>
          <w:rFonts w:ascii="Arial" w:hAnsi="Arial" w:cs="Arial"/>
          <w:sz w:val="52"/>
          <w:szCs w:val="52"/>
          <w:u w:val="single"/>
        </w:rPr>
        <w:lastRenderedPageBreak/>
        <w:t>Appendices</w:t>
      </w: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52"/>
          <w:szCs w:val="52"/>
        </w:rPr>
      </w:pPr>
    </w:p>
    <w:p w:rsidR="00242A67" w:rsidRDefault="00242A67" w:rsidP="00242A67">
      <w:pPr>
        <w:jc w:val="center"/>
        <w:rPr>
          <w:rFonts w:ascii="Arial" w:hAnsi="Arial" w:cs="Arial"/>
          <w:sz w:val="48"/>
          <w:szCs w:val="48"/>
        </w:rPr>
      </w:pPr>
    </w:p>
    <w:p w:rsidR="00242A67" w:rsidRPr="00242A67" w:rsidRDefault="00242A67" w:rsidP="00242A67">
      <w:pPr>
        <w:jc w:val="center"/>
        <w:rPr>
          <w:rFonts w:ascii="Arial" w:hAnsi="Arial" w:cs="Arial"/>
          <w:sz w:val="48"/>
          <w:szCs w:val="48"/>
        </w:rPr>
      </w:pPr>
      <w:r w:rsidRPr="00242A67">
        <w:rPr>
          <w:rFonts w:ascii="Arial" w:hAnsi="Arial" w:cs="Arial"/>
          <w:sz w:val="48"/>
          <w:szCs w:val="48"/>
        </w:rPr>
        <w:lastRenderedPageBreak/>
        <w:t xml:space="preserve">Appendix A </w:t>
      </w:r>
    </w:p>
    <w:p w:rsidR="00242A67" w:rsidRPr="00242A67" w:rsidRDefault="00242A67" w:rsidP="00242A67">
      <w:pPr>
        <w:jc w:val="center"/>
        <w:rPr>
          <w:rFonts w:ascii="Arial" w:hAnsi="Arial" w:cs="Arial"/>
          <w:sz w:val="48"/>
          <w:szCs w:val="48"/>
        </w:rPr>
      </w:pPr>
      <w:r w:rsidRPr="00242A67">
        <w:rPr>
          <w:rFonts w:ascii="Arial" w:hAnsi="Arial" w:cs="Arial"/>
          <w:sz w:val="48"/>
          <w:szCs w:val="48"/>
        </w:rPr>
        <w:t>Datasets used for Constraint Check</w:t>
      </w:r>
    </w:p>
    <w:p w:rsidR="00242A67" w:rsidRPr="003B7D13" w:rsidRDefault="00242A67" w:rsidP="00242A67">
      <w:pPr>
        <w:jc w:val="center"/>
        <w:rPr>
          <w:rFonts w:ascii="Arial" w:hAnsi="Arial" w:cs="Arial"/>
          <w:sz w:val="36"/>
          <w:szCs w:val="36"/>
        </w:rPr>
      </w:pPr>
    </w:p>
    <w:p w:rsidR="00242A67" w:rsidRPr="00866D43" w:rsidRDefault="00242A67" w:rsidP="00242A67">
      <w:pPr>
        <w:jc w:val="center"/>
        <w:rPr>
          <w:rFonts w:ascii="Arial" w:hAnsi="Arial" w:cs="Arial"/>
        </w:rPr>
      </w:pPr>
    </w:p>
    <w:tbl>
      <w:tblPr>
        <w:tblStyle w:val="TableGrid"/>
        <w:tblW w:w="9067" w:type="dxa"/>
        <w:tblLook w:val="04A0" w:firstRow="1" w:lastRow="0" w:firstColumn="1" w:lastColumn="0" w:noHBand="0" w:noVBand="1"/>
      </w:tblPr>
      <w:tblGrid>
        <w:gridCol w:w="5240"/>
        <w:gridCol w:w="3827"/>
      </w:tblGrid>
      <w:tr w:rsidR="00242A67" w:rsidRPr="00866D43" w:rsidTr="0011055D">
        <w:tc>
          <w:tcPr>
            <w:tcW w:w="5240" w:type="dxa"/>
            <w:shd w:val="clear" w:color="auto" w:fill="BDD6EE" w:themeFill="accent1" w:themeFillTint="66"/>
          </w:tcPr>
          <w:p w:rsidR="00242A67" w:rsidRPr="00866D43" w:rsidRDefault="00242A67" w:rsidP="0011055D">
            <w:pPr>
              <w:rPr>
                <w:rFonts w:ascii="Arial" w:hAnsi="Arial" w:cs="Arial"/>
                <w:b/>
              </w:rPr>
            </w:pPr>
            <w:r w:rsidRPr="00866D43">
              <w:rPr>
                <w:rFonts w:ascii="Arial" w:hAnsi="Arial" w:cs="Arial"/>
                <w:b/>
              </w:rPr>
              <w:t>Dataset</w:t>
            </w:r>
          </w:p>
        </w:tc>
        <w:tc>
          <w:tcPr>
            <w:tcW w:w="3827" w:type="dxa"/>
            <w:tcBorders>
              <w:bottom w:val="single" w:sz="4" w:space="0" w:color="auto"/>
            </w:tcBorders>
            <w:shd w:val="clear" w:color="auto" w:fill="BDD6EE" w:themeFill="accent1" w:themeFillTint="66"/>
          </w:tcPr>
          <w:p w:rsidR="00242A67" w:rsidRPr="00866D43" w:rsidRDefault="00242A67" w:rsidP="0011055D">
            <w:pPr>
              <w:rPr>
                <w:rFonts w:ascii="Arial" w:hAnsi="Arial" w:cs="Arial"/>
                <w:b/>
              </w:rPr>
            </w:pPr>
            <w:r w:rsidRPr="00866D43">
              <w:rPr>
                <w:rFonts w:ascii="Arial" w:hAnsi="Arial" w:cs="Arial"/>
                <w:b/>
              </w:rPr>
              <w:t>Source</w:t>
            </w: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Flood Risk Zone 2</w:t>
            </w:r>
          </w:p>
        </w:tc>
        <w:tc>
          <w:tcPr>
            <w:tcW w:w="3827" w:type="dxa"/>
            <w:vMerge w:val="restart"/>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r w:rsidRPr="00866D43">
              <w:rPr>
                <w:rFonts w:ascii="Arial" w:hAnsi="Arial" w:cs="Arial"/>
              </w:rPr>
              <w:t>Environment Agency</w:t>
            </w: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Flood Risk Zone 3</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Surface Water Flooding High Risk</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Surface Water Flooding Medium Risk</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rPr>
          <w:trHeight w:val="264"/>
        </w:trPr>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SSSI</w:t>
            </w:r>
          </w:p>
        </w:tc>
        <w:tc>
          <w:tcPr>
            <w:tcW w:w="3827" w:type="dxa"/>
            <w:vMerge w:val="restart"/>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r w:rsidRPr="00866D43">
              <w:rPr>
                <w:rFonts w:ascii="Arial" w:hAnsi="Arial" w:cs="Arial"/>
              </w:rPr>
              <w:t>Natural England</w:t>
            </w:r>
          </w:p>
        </w:tc>
      </w:tr>
      <w:tr w:rsidR="00242A67" w:rsidRPr="00866D43" w:rsidTr="0011055D">
        <w:trPr>
          <w:trHeight w:val="253"/>
        </w:trPr>
        <w:tc>
          <w:tcPr>
            <w:tcW w:w="5240" w:type="dxa"/>
            <w:vMerge w:val="restart"/>
            <w:tcBorders>
              <w:right w:val="single" w:sz="4" w:space="0" w:color="auto"/>
            </w:tcBorders>
          </w:tcPr>
          <w:p w:rsidR="00242A67" w:rsidRPr="00866D43" w:rsidRDefault="00242A67" w:rsidP="0011055D">
            <w:pPr>
              <w:rPr>
                <w:rFonts w:ascii="Arial" w:hAnsi="Arial" w:cs="Arial"/>
              </w:rPr>
            </w:pPr>
            <w:r w:rsidRPr="00866D43">
              <w:rPr>
                <w:rFonts w:ascii="Arial" w:hAnsi="Arial" w:cs="Arial"/>
              </w:rPr>
              <w:t>Nature Improvement Areas (NIA)</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rPr>
          <w:trHeight w:val="253"/>
        </w:trPr>
        <w:tc>
          <w:tcPr>
            <w:tcW w:w="5240" w:type="dxa"/>
            <w:vMerge/>
            <w:tcBorders>
              <w:right w:val="single" w:sz="4" w:space="0" w:color="auto"/>
            </w:tcBorders>
          </w:tcPr>
          <w:p w:rsidR="00242A67" w:rsidRPr="00866D43" w:rsidRDefault="00242A67" w:rsidP="0011055D">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National Nature Reserves (NNR)</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Special Protection Areas (SPA)</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Special Area of Conservation (SAC)</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proofErr w:type="spellStart"/>
            <w:r w:rsidRPr="00866D43">
              <w:rPr>
                <w:rFonts w:ascii="Arial" w:hAnsi="Arial" w:cs="Arial"/>
              </w:rPr>
              <w:t>Ramsar</w:t>
            </w:r>
            <w:proofErr w:type="spellEnd"/>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Agricultural Land Classification</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Local Nature Reserves (LNR)</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Ancient Woodland</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Borders>
              <w:right w:val="single" w:sz="4" w:space="0" w:color="auto"/>
            </w:tcBorders>
          </w:tcPr>
          <w:p w:rsidR="00242A67" w:rsidRPr="00866D43" w:rsidRDefault="00242A67" w:rsidP="0011055D">
            <w:pPr>
              <w:rPr>
                <w:rFonts w:ascii="Arial" w:hAnsi="Arial" w:cs="Arial"/>
              </w:rPr>
            </w:pPr>
            <w:r w:rsidRPr="00866D43">
              <w:rPr>
                <w:rFonts w:ascii="Arial" w:hAnsi="Arial" w:cs="Arial"/>
              </w:rPr>
              <w:t>Area of Outstanding Natural Beauty (AONB)</w:t>
            </w:r>
          </w:p>
        </w:tc>
        <w:tc>
          <w:tcPr>
            <w:tcW w:w="3827" w:type="dxa"/>
            <w:vMerge/>
            <w:tcBorders>
              <w:top w:val="single" w:sz="4" w:space="0" w:color="auto"/>
              <w:left w:val="single" w:sz="4" w:space="0" w:color="auto"/>
              <w:bottom w:val="single" w:sz="4" w:space="0" w:color="auto"/>
              <w:right w:val="single" w:sz="4" w:space="0" w:color="auto"/>
            </w:tcBorders>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Local Wildlife Sites (LWS)</w:t>
            </w:r>
          </w:p>
        </w:tc>
        <w:tc>
          <w:tcPr>
            <w:tcW w:w="3827" w:type="dxa"/>
            <w:vMerge w:val="restart"/>
            <w:tcBorders>
              <w:top w:val="single" w:sz="4" w:space="0" w:color="auto"/>
            </w:tcBorders>
          </w:tcPr>
          <w:p w:rsidR="00242A67" w:rsidRPr="00866D43" w:rsidRDefault="00242A67" w:rsidP="0011055D">
            <w:pPr>
              <w:rPr>
                <w:rFonts w:ascii="Arial" w:hAnsi="Arial" w:cs="Arial"/>
              </w:rPr>
            </w:pPr>
            <w:r w:rsidRPr="00866D43">
              <w:rPr>
                <w:rFonts w:ascii="Arial" w:hAnsi="Arial" w:cs="Arial"/>
              </w:rPr>
              <w:t>Greater Lincolnshire Nature Partnership</w:t>
            </w: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Sites of Nature Conservation Interest (SNCI)</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Local Geological Sites</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TPO</w:t>
            </w:r>
          </w:p>
        </w:tc>
        <w:tc>
          <w:tcPr>
            <w:tcW w:w="3827" w:type="dxa"/>
            <w:vMerge w:val="restart"/>
          </w:tcPr>
          <w:p w:rsidR="00242A67" w:rsidRPr="00866D43" w:rsidRDefault="00242A67" w:rsidP="0011055D">
            <w:pPr>
              <w:rPr>
                <w:rFonts w:ascii="Arial" w:hAnsi="Arial" w:cs="Arial"/>
              </w:rPr>
            </w:pPr>
            <w:r w:rsidRPr="00866D43">
              <w:rPr>
                <w:rFonts w:ascii="Arial" w:hAnsi="Arial" w:cs="Arial"/>
              </w:rPr>
              <w:t>Local Authority Datasets</w:t>
            </w: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Air Quality Management Area</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Conservation Areas</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High Pressure Pipelines</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Greed Wedge</w:t>
            </w:r>
          </w:p>
        </w:tc>
        <w:tc>
          <w:tcPr>
            <w:tcW w:w="3827" w:type="dxa"/>
            <w:vMerge w:val="restart"/>
          </w:tcPr>
          <w:p w:rsidR="00242A67" w:rsidRPr="00866D43" w:rsidRDefault="00242A67" w:rsidP="0011055D">
            <w:pPr>
              <w:rPr>
                <w:rFonts w:ascii="Arial" w:hAnsi="Arial" w:cs="Arial"/>
              </w:rPr>
            </w:pPr>
            <w:r w:rsidRPr="00866D43">
              <w:rPr>
                <w:rFonts w:ascii="Arial" w:hAnsi="Arial" w:cs="Arial"/>
              </w:rPr>
              <w:t>Local Plan Datasets</w:t>
            </w: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Area of Great Landscape Value</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Protected Local Green Space</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Scheduled Ancient Monument (SAM)</w:t>
            </w:r>
          </w:p>
        </w:tc>
        <w:tc>
          <w:tcPr>
            <w:tcW w:w="3827" w:type="dxa"/>
            <w:vMerge w:val="restart"/>
          </w:tcPr>
          <w:p w:rsidR="00242A67" w:rsidRPr="00866D43" w:rsidRDefault="00242A67" w:rsidP="0011055D">
            <w:pPr>
              <w:rPr>
                <w:rFonts w:ascii="Arial" w:hAnsi="Arial" w:cs="Arial"/>
              </w:rPr>
            </w:pPr>
            <w:r w:rsidRPr="00866D43">
              <w:rPr>
                <w:rFonts w:ascii="Arial" w:hAnsi="Arial" w:cs="Arial"/>
              </w:rPr>
              <w:t>Historic England</w:t>
            </w: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Listed Buildings</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Historic Parks &amp; Gardens</w:t>
            </w:r>
          </w:p>
        </w:tc>
        <w:tc>
          <w:tcPr>
            <w:tcW w:w="3827" w:type="dxa"/>
            <w:vMerge/>
          </w:tcPr>
          <w:p w:rsidR="00242A67" w:rsidRPr="00866D43" w:rsidRDefault="00242A67" w:rsidP="0011055D">
            <w:pPr>
              <w:rPr>
                <w:rFonts w:ascii="Arial" w:hAnsi="Arial" w:cs="Arial"/>
              </w:rPr>
            </w:pP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Hazardous Sites</w:t>
            </w:r>
          </w:p>
        </w:tc>
        <w:tc>
          <w:tcPr>
            <w:tcW w:w="3827" w:type="dxa"/>
          </w:tcPr>
          <w:p w:rsidR="00242A67" w:rsidRPr="00866D43" w:rsidRDefault="00242A67" w:rsidP="0011055D">
            <w:pPr>
              <w:rPr>
                <w:rFonts w:ascii="Arial" w:hAnsi="Arial" w:cs="Arial"/>
              </w:rPr>
            </w:pPr>
            <w:r w:rsidRPr="00866D43">
              <w:rPr>
                <w:rFonts w:ascii="Arial" w:hAnsi="Arial" w:cs="Arial"/>
              </w:rPr>
              <w:t>HSE</w:t>
            </w:r>
          </w:p>
        </w:tc>
      </w:tr>
      <w:tr w:rsidR="00242A67" w:rsidRPr="00866D43" w:rsidTr="0011055D">
        <w:tc>
          <w:tcPr>
            <w:tcW w:w="5240" w:type="dxa"/>
          </w:tcPr>
          <w:p w:rsidR="00242A67" w:rsidRPr="00866D43" w:rsidRDefault="00242A67" w:rsidP="0011055D">
            <w:pPr>
              <w:rPr>
                <w:rFonts w:ascii="Arial" w:hAnsi="Arial" w:cs="Arial"/>
              </w:rPr>
            </w:pPr>
            <w:r w:rsidRPr="00866D43">
              <w:rPr>
                <w:rFonts w:ascii="Arial" w:hAnsi="Arial" w:cs="Arial"/>
              </w:rPr>
              <w:t>Minerals and Waste Safeguarding</w:t>
            </w:r>
          </w:p>
        </w:tc>
        <w:tc>
          <w:tcPr>
            <w:tcW w:w="3827" w:type="dxa"/>
          </w:tcPr>
          <w:p w:rsidR="00242A67" w:rsidRPr="00866D43" w:rsidRDefault="00242A67" w:rsidP="0011055D">
            <w:pPr>
              <w:rPr>
                <w:rFonts w:ascii="Arial" w:hAnsi="Arial" w:cs="Arial"/>
              </w:rPr>
            </w:pPr>
            <w:r w:rsidRPr="00866D43">
              <w:rPr>
                <w:rFonts w:ascii="Arial" w:hAnsi="Arial" w:cs="Arial"/>
              </w:rPr>
              <w:t>Lincolnshire County Council Minerals and Waste Local Plan</w:t>
            </w:r>
          </w:p>
        </w:tc>
      </w:tr>
    </w:tbl>
    <w:p w:rsidR="009A1B03" w:rsidRDefault="009A1B03"/>
    <w:p w:rsidR="009A1B03" w:rsidRDefault="009A1B03"/>
    <w:p w:rsidR="009A1B03" w:rsidRDefault="009A1B03"/>
    <w:p w:rsidR="009A1B03" w:rsidRDefault="009A1B03"/>
    <w:p w:rsidR="009A1B03" w:rsidRDefault="009A1B03"/>
    <w:p w:rsidR="00242A67" w:rsidRDefault="00242A67"/>
    <w:p w:rsidR="009A1B03" w:rsidRDefault="009A1B03"/>
    <w:p w:rsidR="00242A67" w:rsidRPr="00B87636" w:rsidRDefault="00242A67" w:rsidP="00242A67">
      <w:pPr>
        <w:spacing w:after="0"/>
        <w:ind w:hanging="284"/>
        <w:jc w:val="center"/>
        <w:rPr>
          <w:rFonts w:ascii="Arial" w:hAnsi="Arial" w:cs="Arial"/>
          <w:sz w:val="48"/>
          <w:szCs w:val="48"/>
        </w:rPr>
      </w:pPr>
      <w:r w:rsidRPr="00B87636">
        <w:rPr>
          <w:rFonts w:ascii="Arial" w:hAnsi="Arial" w:cs="Arial"/>
          <w:sz w:val="48"/>
          <w:szCs w:val="48"/>
        </w:rPr>
        <w:lastRenderedPageBreak/>
        <w:t xml:space="preserve">Appendix </w:t>
      </w:r>
      <w:r>
        <w:rPr>
          <w:rFonts w:ascii="Arial" w:hAnsi="Arial" w:cs="Arial"/>
          <w:sz w:val="48"/>
          <w:szCs w:val="48"/>
        </w:rPr>
        <w:t xml:space="preserve">B: </w:t>
      </w:r>
      <w:r w:rsidRPr="00B87636">
        <w:rPr>
          <w:rFonts w:ascii="Arial" w:hAnsi="Arial" w:cs="Arial"/>
          <w:sz w:val="48"/>
          <w:szCs w:val="48"/>
        </w:rPr>
        <w:t>Sites submitted that do not meet the threshold</w:t>
      </w:r>
    </w:p>
    <w:tbl>
      <w:tblPr>
        <w:tblpPr w:leftFromText="180" w:rightFromText="180" w:vertAnchor="text" w:horzAnchor="margin" w:tblpXSpec="center" w:tblpY="335"/>
        <w:tblW w:w="5000" w:type="pct"/>
        <w:tblLook w:val="04A0" w:firstRow="1" w:lastRow="0" w:firstColumn="1" w:lastColumn="0" w:noHBand="0" w:noVBand="1"/>
      </w:tblPr>
      <w:tblGrid>
        <w:gridCol w:w="1696"/>
        <w:gridCol w:w="870"/>
        <w:gridCol w:w="973"/>
        <w:gridCol w:w="3318"/>
        <w:gridCol w:w="1480"/>
        <w:gridCol w:w="986"/>
      </w:tblGrid>
      <w:tr w:rsidR="00686729" w:rsidRPr="009F12F9" w:rsidTr="0071216F">
        <w:trPr>
          <w:trHeight w:val="982"/>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Reference</w:t>
            </w:r>
          </w:p>
        </w:tc>
        <w:tc>
          <w:tcPr>
            <w:tcW w:w="870" w:type="dxa"/>
            <w:tcBorders>
              <w:top w:val="single" w:sz="4" w:space="0" w:color="auto"/>
              <w:left w:val="nil"/>
              <w:bottom w:val="single" w:sz="4" w:space="0" w:color="auto"/>
              <w:right w:val="nil"/>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jc w:val="center"/>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Easting</w:t>
            </w:r>
          </w:p>
        </w:tc>
        <w:tc>
          <w:tcPr>
            <w:tcW w:w="973" w:type="dxa"/>
            <w:tcBorders>
              <w:top w:val="single" w:sz="4" w:space="0" w:color="auto"/>
              <w:left w:val="single" w:sz="4" w:space="0" w:color="auto"/>
              <w:bottom w:val="single" w:sz="4" w:space="0" w:color="auto"/>
              <w:right w:val="nil"/>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jc w:val="center"/>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Northing</w:t>
            </w:r>
          </w:p>
        </w:tc>
        <w:tc>
          <w:tcPr>
            <w:tcW w:w="362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jc w:val="center"/>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Site Address</w:t>
            </w:r>
          </w:p>
        </w:tc>
        <w:tc>
          <w:tcPr>
            <w:tcW w:w="14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jc w:val="center"/>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Settlement Hierarchy Adopted Local Plan 2017</w:t>
            </w:r>
          </w:p>
        </w:tc>
        <w:tc>
          <w:tcPr>
            <w:tcW w:w="986" w:type="dxa"/>
            <w:tcBorders>
              <w:top w:val="single" w:sz="4" w:space="0" w:color="auto"/>
              <w:left w:val="nil"/>
              <w:bottom w:val="single" w:sz="4" w:space="0" w:color="auto"/>
              <w:right w:val="single" w:sz="4" w:space="0" w:color="auto"/>
            </w:tcBorders>
            <w:shd w:val="clear" w:color="auto" w:fill="BDD6EE" w:themeFill="accent1" w:themeFillTint="66"/>
            <w:tcMar>
              <w:left w:w="28" w:type="dxa"/>
              <w:right w:w="28" w:type="dxa"/>
            </w:tcMar>
            <w:vAlign w:val="bottom"/>
            <w:hideMark/>
          </w:tcPr>
          <w:p w:rsidR="00686729" w:rsidRPr="009F12F9" w:rsidRDefault="00686729" w:rsidP="0071216F">
            <w:pPr>
              <w:spacing w:after="0" w:line="240" w:lineRule="auto"/>
              <w:jc w:val="center"/>
              <w:rPr>
                <w:rFonts w:ascii="Arial" w:eastAsia="Times New Roman" w:hAnsi="Arial" w:cs="Arial"/>
                <w:b/>
                <w:bCs/>
                <w:color w:val="000000"/>
                <w:sz w:val="20"/>
                <w:szCs w:val="20"/>
                <w:lang w:eastAsia="en-GB"/>
              </w:rPr>
            </w:pPr>
            <w:r w:rsidRPr="009F12F9">
              <w:rPr>
                <w:rFonts w:ascii="Arial" w:eastAsia="Times New Roman" w:hAnsi="Arial" w:cs="Arial"/>
                <w:b/>
                <w:bCs/>
                <w:color w:val="000000"/>
                <w:sz w:val="20"/>
                <w:szCs w:val="20"/>
                <w:lang w:eastAsia="en-GB"/>
              </w:rPr>
              <w:t>Site Capacity</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eastAsia="Times New Roman" w:hAnsi="Calibri" w:cs="Calibri"/>
                <w:color w:val="000000"/>
              </w:rPr>
            </w:pPr>
            <w:r>
              <w:rPr>
                <w:rFonts w:ascii="Calibri" w:hAnsi="Calibri" w:cs="Calibri"/>
                <w:color w:val="000000"/>
              </w:rPr>
              <w:t>CLNEW014</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513453</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392640</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Land opposite Kestrels, </w:t>
            </w:r>
            <w:proofErr w:type="spellStart"/>
            <w:r>
              <w:rPr>
                <w:rFonts w:ascii="Calibri" w:hAnsi="Calibri" w:cs="Calibri"/>
                <w:color w:val="000000"/>
              </w:rPr>
              <w:t>Otby</w:t>
            </w:r>
            <w:proofErr w:type="spellEnd"/>
            <w:r>
              <w:rPr>
                <w:rFonts w:ascii="Calibri" w:hAnsi="Calibri" w:cs="Calibri"/>
                <w:color w:val="000000"/>
              </w:rPr>
              <w:t xml:space="preserve"> Lane, </w:t>
            </w:r>
            <w:proofErr w:type="spellStart"/>
            <w:r>
              <w:rPr>
                <w:rFonts w:ascii="Calibri" w:hAnsi="Calibri" w:cs="Calibri"/>
                <w:color w:val="000000"/>
              </w:rPr>
              <w:t>Walesby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1</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CL1940</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516062</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409870</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 xml:space="preserve">Rear of 1 Mill Lane, </w:t>
            </w:r>
            <w:proofErr w:type="spellStart"/>
            <w:r>
              <w:rPr>
                <w:rFonts w:ascii="Calibri" w:hAnsi="Calibri" w:cs="Calibri"/>
                <w:color w:val="000000"/>
              </w:rPr>
              <w:t>Keelby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Large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1</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CL1950</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504454</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401843</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Rose Cottage, High Street, North Kelsey</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CL129</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505931</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348900</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 xml:space="preserve">7 Wansbeck Road , </w:t>
            </w:r>
            <w:proofErr w:type="spellStart"/>
            <w:r>
              <w:rPr>
                <w:rFonts w:ascii="Calibri" w:hAnsi="Calibri" w:cs="Calibri"/>
                <w:color w:val="000000"/>
              </w:rPr>
              <w:t>Leasingham</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CL1949</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504211</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402002</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Land South of Bridge Willow, North Kelsey</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CL810</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496611</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373717</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367A Burton Road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729" w:rsidRDefault="00686729" w:rsidP="0071216F">
            <w:pPr>
              <w:rPr>
                <w:rFonts w:ascii="Calibri" w:hAnsi="Calibri" w:cs="Calibri"/>
                <w:color w:val="000000"/>
              </w:rPr>
            </w:pPr>
            <w:r>
              <w:rPr>
                <w:rFonts w:ascii="Calibri" w:hAnsi="Calibri" w:cs="Calibri"/>
                <w:color w:val="000000"/>
              </w:rPr>
              <w:t>Lincoln Urban Area</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CLNEW010</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513347</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392332</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Land between </w:t>
            </w:r>
            <w:proofErr w:type="spellStart"/>
            <w:r>
              <w:rPr>
                <w:rFonts w:ascii="Calibri" w:hAnsi="Calibri" w:cs="Calibri"/>
                <w:color w:val="000000"/>
              </w:rPr>
              <w:t>Graycroft</w:t>
            </w:r>
            <w:proofErr w:type="spellEnd"/>
            <w:r>
              <w:rPr>
                <w:rFonts w:ascii="Calibri" w:hAnsi="Calibri" w:cs="Calibri"/>
                <w:color w:val="000000"/>
              </w:rPr>
              <w:t xml:space="preserve"> and Pantiles, Rasen Road, </w:t>
            </w:r>
            <w:proofErr w:type="spellStart"/>
            <w:r>
              <w:rPr>
                <w:rFonts w:ascii="Calibri" w:hAnsi="Calibri" w:cs="Calibri"/>
                <w:color w:val="000000"/>
              </w:rPr>
              <w:t>Walesby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CL1406</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507226</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392789</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Main Street, </w:t>
            </w:r>
            <w:proofErr w:type="spellStart"/>
            <w:r>
              <w:rPr>
                <w:rFonts w:ascii="Calibri" w:hAnsi="Calibri" w:cs="Calibri"/>
                <w:color w:val="000000"/>
              </w:rPr>
              <w:t>Osgodby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CLNEW012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513478</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392614</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Land to the south of Kestrels, </w:t>
            </w:r>
            <w:proofErr w:type="spellStart"/>
            <w:r>
              <w:rPr>
                <w:rFonts w:ascii="Calibri" w:hAnsi="Calibri" w:cs="Calibri"/>
                <w:color w:val="000000"/>
              </w:rPr>
              <w:t>Otby</w:t>
            </w:r>
            <w:proofErr w:type="spellEnd"/>
            <w:r>
              <w:rPr>
                <w:rFonts w:ascii="Calibri" w:hAnsi="Calibri" w:cs="Calibri"/>
                <w:color w:val="000000"/>
              </w:rPr>
              <w:t xml:space="preserve"> Lane, </w:t>
            </w:r>
            <w:proofErr w:type="spellStart"/>
            <w:r>
              <w:rPr>
                <w:rFonts w:ascii="Calibri" w:hAnsi="Calibri" w:cs="Calibri"/>
                <w:color w:val="000000"/>
              </w:rPr>
              <w:t>Walesby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CLNEW011</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513324</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392363</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Land between </w:t>
            </w:r>
            <w:proofErr w:type="spellStart"/>
            <w:r>
              <w:rPr>
                <w:rFonts w:ascii="Calibri" w:hAnsi="Calibri" w:cs="Calibri"/>
                <w:color w:val="000000"/>
              </w:rPr>
              <w:t>Wychaway</w:t>
            </w:r>
            <w:proofErr w:type="spellEnd"/>
            <w:r>
              <w:rPr>
                <w:rFonts w:ascii="Calibri" w:hAnsi="Calibri" w:cs="Calibri"/>
                <w:color w:val="000000"/>
              </w:rPr>
              <w:t xml:space="preserve"> and Beech Cottage, Moor Road, </w:t>
            </w:r>
            <w:proofErr w:type="spellStart"/>
            <w:r>
              <w:rPr>
                <w:rFonts w:ascii="Calibri" w:hAnsi="Calibri" w:cs="Calibri"/>
                <w:color w:val="000000"/>
              </w:rPr>
              <w:t>Walesby</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CL4062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515281</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399713</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Land at 17 Partridge Drive, Rothwell, Market Rasen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CL3019</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505609</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366817</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8 Moor Lane, </w:t>
            </w:r>
            <w:proofErr w:type="spellStart"/>
            <w:r>
              <w:rPr>
                <w:rFonts w:ascii="Calibri" w:hAnsi="Calibri" w:cs="Calibri"/>
                <w:color w:val="000000"/>
              </w:rPr>
              <w:t>Potterhanworth</w:t>
            </w:r>
            <w:proofErr w:type="spellEnd"/>
            <w:r>
              <w:rPr>
                <w:rFonts w:ascii="Calibri" w:hAnsi="Calibri" w:cs="Calibri"/>
                <w:color w:val="000000"/>
              </w:rPr>
              <w:t>, LN4 2DZ</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CL3013</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490734</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365690</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Land off Lincoln Lane, Holme Farm, Thorpe on the Hill</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CL902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507301</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361470</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Site at 7/9 Station Road, </w:t>
            </w:r>
            <w:proofErr w:type="spellStart"/>
            <w:r>
              <w:rPr>
                <w:rFonts w:ascii="Calibri" w:hAnsi="Calibri" w:cs="Calibri"/>
                <w:color w:val="000000"/>
              </w:rPr>
              <w:t>Metheringham</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Large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CL342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492582</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371952</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 xml:space="preserve">Land adjacent to 2 Lower Church Road, </w:t>
            </w:r>
            <w:proofErr w:type="spellStart"/>
            <w:r>
              <w:rPr>
                <w:rFonts w:ascii="Calibri" w:hAnsi="Calibri" w:cs="Calibri"/>
                <w:color w:val="000000"/>
              </w:rPr>
              <w:t>Skellingthorpe</w:t>
            </w:r>
            <w:proofErr w:type="spellEnd"/>
            <w:r>
              <w:rPr>
                <w:rFonts w:ascii="Calibri" w:hAnsi="Calibri" w:cs="Calibri"/>
                <w:color w:val="000000"/>
              </w:rPr>
              <w:t>, Lincoln, LN6 5UZ</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Large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lastRenderedPageBreak/>
              <w:t>CL1629</w:t>
            </w:r>
          </w:p>
        </w:tc>
        <w:tc>
          <w:tcPr>
            <w:tcW w:w="87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481408</w:t>
            </w:r>
          </w:p>
        </w:tc>
        <w:tc>
          <w:tcPr>
            <w:tcW w:w="97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390257</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The Fanny Marshall Institute, 49 Church Street, Gainsborough, DN21 2JX</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Main Towns</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CL4066</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510305</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401729</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Land at Sports </w:t>
            </w:r>
            <w:proofErr w:type="spellStart"/>
            <w:r>
              <w:rPr>
                <w:rFonts w:ascii="Calibri" w:hAnsi="Calibri" w:cs="Calibri"/>
                <w:color w:val="000000"/>
              </w:rPr>
              <w:t>Pavillion</w:t>
            </w:r>
            <w:proofErr w:type="spellEnd"/>
            <w:r>
              <w:rPr>
                <w:rFonts w:ascii="Calibri" w:hAnsi="Calibri" w:cs="Calibri"/>
                <w:color w:val="000000"/>
              </w:rPr>
              <w:t xml:space="preserve">, Moor Lane, </w:t>
            </w:r>
            <w:proofErr w:type="spellStart"/>
            <w:r>
              <w:rPr>
                <w:rFonts w:ascii="Calibri" w:hAnsi="Calibri" w:cs="Calibri"/>
                <w:color w:val="000000"/>
              </w:rPr>
              <w:t>Caistor</w:t>
            </w:r>
            <w:proofErr w:type="spellEnd"/>
            <w:r>
              <w:rPr>
                <w:rFonts w:ascii="Calibri" w:hAnsi="Calibri" w:cs="Calibri"/>
                <w:color w:val="000000"/>
              </w:rPr>
              <w:t>, Market Rasen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Countryside</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4</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CL846</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506865</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359979</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Stable Block off B1188, Blankney</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Countryside</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4</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86729" w:rsidRDefault="00686729" w:rsidP="0071216F">
            <w:pPr>
              <w:rPr>
                <w:rFonts w:ascii="Calibri" w:hAnsi="Calibri" w:cs="Calibri"/>
                <w:color w:val="000000"/>
              </w:rPr>
            </w:pPr>
            <w:r>
              <w:rPr>
                <w:rFonts w:ascii="Calibri" w:hAnsi="Calibri" w:cs="Calibri"/>
                <w:color w:val="000000"/>
              </w:rPr>
              <w:t>CL1902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503262</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376058</w:t>
            </w: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 xml:space="preserve">The Sonnets, </w:t>
            </w:r>
            <w:proofErr w:type="spellStart"/>
            <w:r>
              <w:rPr>
                <w:rFonts w:ascii="Calibri" w:hAnsi="Calibri" w:cs="Calibri"/>
                <w:color w:val="000000"/>
              </w:rPr>
              <w:t>Sudbrooke</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4</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N/A</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504373</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r>
              <w:rPr>
                <w:rFonts w:ascii="Calibri" w:hAnsi="Calibri" w:cs="Calibri"/>
                <w:color w:val="000000"/>
              </w:rPr>
              <w:t>401539</w:t>
            </w:r>
          </w:p>
        </w:tc>
        <w:tc>
          <w:tcPr>
            <w:tcW w:w="3623" w:type="dxa"/>
            <w:tcBorders>
              <w:top w:val="single" w:sz="4" w:space="0" w:color="auto"/>
              <w:left w:val="nil"/>
              <w:bottom w:val="single" w:sz="4" w:space="0" w:color="auto"/>
              <w:right w:val="single" w:sz="4" w:space="0" w:color="auto"/>
            </w:tcBorders>
            <w:shd w:val="clear" w:color="auto" w:fill="auto"/>
            <w:vAlign w:val="bottom"/>
          </w:tcPr>
          <w:p w:rsidR="00686729" w:rsidRDefault="00686729" w:rsidP="0071216F">
            <w:pPr>
              <w:rPr>
                <w:rFonts w:ascii="Calibri" w:hAnsi="Calibri" w:cs="Calibri"/>
                <w:color w:val="000000"/>
              </w:rPr>
            </w:pPr>
            <w:r>
              <w:rPr>
                <w:rFonts w:ascii="Calibri" w:hAnsi="Calibri" w:cs="Calibri"/>
                <w:color w:val="000000"/>
              </w:rPr>
              <w:t>Land at Green Lane, North Kelsey</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Medium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2</w:t>
            </w:r>
          </w:p>
        </w:tc>
      </w:tr>
      <w:tr w:rsidR="00686729" w:rsidRPr="009F12F9" w:rsidTr="0071216F">
        <w:trPr>
          <w:trHeight w:val="500"/>
        </w:trPr>
        <w:tc>
          <w:tcPr>
            <w:tcW w:w="16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eastAsia="Times New Roman" w:hAnsi="Calibri" w:cs="Calibri"/>
                <w:color w:val="000000"/>
              </w:rPr>
            </w:pPr>
            <w:r>
              <w:rPr>
                <w:rFonts w:ascii="Calibri" w:hAnsi="Calibri" w:cs="Calibri"/>
                <w:color w:val="000000"/>
              </w:rPr>
              <w:t>NK/MART/006</w:t>
            </w:r>
          </w:p>
        </w:tc>
        <w:tc>
          <w:tcPr>
            <w:tcW w:w="87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97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eastAsia="Times New Roman" w:hAnsi="Calibri" w:cs="Calibri"/>
                <w:color w:val="000000"/>
              </w:rPr>
            </w:pPr>
            <w:r>
              <w:rPr>
                <w:rFonts w:ascii="Calibri" w:hAnsi="Calibri" w:cs="Calibri"/>
                <w:color w:val="000000"/>
              </w:rPr>
              <w:t>Land to the west of Linwood Road, north of Mrs Mary Kings Primary School, Martin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eastAsia="Times New Roman" w:hAnsi="Calibri" w:cs="Calibri"/>
                <w:color w:val="000000"/>
              </w:rPr>
            </w:pPr>
            <w:r>
              <w:rPr>
                <w:rFonts w:ascii="Calibri" w:hAnsi="Calibri" w:cs="Calibri"/>
                <w:color w:val="000000"/>
              </w:rPr>
              <w:t>Medium Villages</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eastAsia="Times New Roman" w:hAnsi="Calibri" w:cs="Calibri"/>
                <w:color w:val="000000"/>
              </w:rPr>
            </w:pPr>
            <w:r>
              <w:rPr>
                <w:rFonts w:ascii="Calibri" w:hAnsi="Calibri" w:cs="Calibri"/>
                <w:color w:val="000000"/>
              </w:rPr>
              <w:t>4</w:t>
            </w:r>
          </w:p>
        </w:tc>
      </w:tr>
      <w:tr w:rsidR="00686729" w:rsidRPr="009F12F9" w:rsidTr="0071216F">
        <w:trPr>
          <w:trHeight w:val="500"/>
        </w:trPr>
        <w:tc>
          <w:tcPr>
            <w:tcW w:w="16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NK/TOTH/007</w:t>
            </w:r>
          </w:p>
        </w:tc>
        <w:tc>
          <w:tcPr>
            <w:tcW w:w="87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97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Land between 24 and 30 Lincoln Lane, Thorpe on the Hill</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WL/BUR/003</w:t>
            </w:r>
          </w:p>
        </w:tc>
        <w:tc>
          <w:tcPr>
            <w:tcW w:w="87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97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Land adjacent Hillside Cottages, Main Street, Burton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3</w:t>
            </w:r>
          </w:p>
        </w:tc>
      </w:tr>
      <w:tr w:rsidR="00686729" w:rsidRPr="009F12F9" w:rsidTr="0071216F">
        <w:trPr>
          <w:trHeight w:val="500"/>
        </w:trPr>
        <w:tc>
          <w:tcPr>
            <w:tcW w:w="169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rPr>
                <w:rFonts w:ascii="Calibri" w:hAnsi="Calibri" w:cs="Calibri"/>
                <w:color w:val="000000"/>
              </w:rPr>
            </w:pPr>
            <w:r>
              <w:rPr>
                <w:rFonts w:ascii="Calibri" w:hAnsi="Calibri" w:cs="Calibri"/>
                <w:color w:val="000000"/>
              </w:rPr>
              <w:t>WL/NOT/002</w:t>
            </w:r>
          </w:p>
        </w:tc>
        <w:tc>
          <w:tcPr>
            <w:tcW w:w="87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686729" w:rsidRDefault="00686729" w:rsidP="0071216F">
            <w:pPr>
              <w:jc w:val="right"/>
              <w:rPr>
                <w:rFonts w:ascii="Calibri" w:hAnsi="Calibri" w:cs="Calibri"/>
                <w:color w:val="000000"/>
              </w:rPr>
            </w:pPr>
          </w:p>
        </w:tc>
        <w:tc>
          <w:tcPr>
            <w:tcW w:w="3623" w:type="dxa"/>
            <w:tcBorders>
              <w:top w:val="single" w:sz="4" w:space="0" w:color="auto"/>
              <w:left w:val="nil"/>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Land west of A1133, north of Timber Yard, Newton on Trent</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6729" w:rsidRDefault="00686729" w:rsidP="0071216F">
            <w:pPr>
              <w:rPr>
                <w:rFonts w:ascii="Calibri" w:hAnsi="Calibri" w:cs="Calibri"/>
                <w:color w:val="000000"/>
              </w:rPr>
            </w:pPr>
            <w:r>
              <w:rPr>
                <w:rFonts w:ascii="Calibri" w:hAnsi="Calibri" w:cs="Calibri"/>
                <w:color w:val="000000"/>
              </w:rPr>
              <w:t>Small Villages</w:t>
            </w:r>
          </w:p>
        </w:tc>
        <w:tc>
          <w:tcPr>
            <w:tcW w:w="986" w:type="dxa"/>
            <w:tcBorders>
              <w:top w:val="nil"/>
              <w:left w:val="nil"/>
              <w:bottom w:val="single" w:sz="4" w:space="0" w:color="auto"/>
              <w:right w:val="single" w:sz="4" w:space="0" w:color="auto"/>
            </w:tcBorders>
            <w:shd w:val="clear" w:color="auto" w:fill="auto"/>
            <w:noWrap/>
            <w:vAlign w:val="bottom"/>
          </w:tcPr>
          <w:p w:rsidR="00686729" w:rsidRDefault="00686729" w:rsidP="0071216F">
            <w:pPr>
              <w:jc w:val="right"/>
              <w:rPr>
                <w:rFonts w:ascii="Calibri" w:hAnsi="Calibri" w:cs="Calibri"/>
                <w:color w:val="000000"/>
              </w:rPr>
            </w:pPr>
            <w:r>
              <w:rPr>
                <w:rFonts w:ascii="Calibri" w:hAnsi="Calibri" w:cs="Calibri"/>
                <w:color w:val="000000"/>
              </w:rPr>
              <w:t>4</w:t>
            </w:r>
          </w:p>
        </w:tc>
      </w:tr>
    </w:tbl>
    <w:p w:rsidR="00242A67" w:rsidRPr="0044165F" w:rsidRDefault="00242A67" w:rsidP="00242A67">
      <w:pPr>
        <w:rPr>
          <w:rFonts w:ascii="Arial" w:hAnsi="Arial" w:cs="Arial"/>
        </w:rPr>
      </w:pPr>
      <w:bookmarkStart w:id="5" w:name="_GoBack"/>
      <w:bookmarkEnd w:id="5"/>
    </w:p>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Default="009A1B03"/>
    <w:p w:rsidR="009A1B03" w:rsidRPr="00922B5E" w:rsidRDefault="009A1B03">
      <w:pPr>
        <w:rPr>
          <w:sz w:val="24"/>
          <w:szCs w:val="24"/>
        </w:rPr>
      </w:pPr>
    </w:p>
    <w:p w:rsidR="009A1B03" w:rsidRPr="00922B5E" w:rsidRDefault="00922B5E" w:rsidP="00922B5E">
      <w:pPr>
        <w:jc w:val="center"/>
        <w:rPr>
          <w:rFonts w:ascii="Arial" w:hAnsi="Arial" w:cs="Arial"/>
          <w:sz w:val="24"/>
          <w:szCs w:val="24"/>
        </w:rPr>
      </w:pPr>
      <w:r w:rsidRPr="00922B5E">
        <w:rPr>
          <w:rFonts w:ascii="Arial" w:hAnsi="Arial" w:cs="Arial"/>
          <w:sz w:val="24"/>
          <w:szCs w:val="24"/>
        </w:rPr>
        <w:t>(Please note Appendices C, D and E are separate to this report)</w:t>
      </w:r>
    </w:p>
    <w:sectPr w:rsidR="009A1B03" w:rsidRPr="00922B5E" w:rsidSect="00242A67">
      <w:footerReference w:type="default" r:id="rId11"/>
      <w:pgSz w:w="11906" w:h="16838"/>
      <w:pgMar w:top="1418"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03" w:rsidRDefault="009A1B03" w:rsidP="009A1B03">
      <w:pPr>
        <w:spacing w:after="0" w:line="240" w:lineRule="auto"/>
      </w:pPr>
      <w:r>
        <w:separator/>
      </w:r>
    </w:p>
  </w:endnote>
  <w:endnote w:type="continuationSeparator" w:id="0">
    <w:p w:rsidR="009A1B03" w:rsidRDefault="009A1B03" w:rsidP="009A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5886"/>
      <w:docPartObj>
        <w:docPartGallery w:val="Page Numbers (Bottom of Page)"/>
        <w:docPartUnique/>
      </w:docPartObj>
    </w:sdtPr>
    <w:sdtEndPr>
      <w:rPr>
        <w:noProof/>
      </w:rPr>
    </w:sdtEndPr>
    <w:sdtContent>
      <w:p w:rsidR="004A2442" w:rsidRDefault="004A2442">
        <w:pPr>
          <w:pStyle w:val="Footer"/>
          <w:jc w:val="center"/>
        </w:pPr>
        <w:r>
          <w:fldChar w:fldCharType="begin"/>
        </w:r>
        <w:r>
          <w:instrText xml:space="preserve"> PAGE   \* MERGEFORMAT </w:instrText>
        </w:r>
        <w:r>
          <w:fldChar w:fldCharType="separate"/>
        </w:r>
        <w:r w:rsidR="00686729">
          <w:rPr>
            <w:noProof/>
          </w:rPr>
          <w:t>10</w:t>
        </w:r>
        <w:r>
          <w:rPr>
            <w:noProof/>
          </w:rPr>
          <w:fldChar w:fldCharType="end"/>
        </w:r>
      </w:p>
    </w:sdtContent>
  </w:sdt>
  <w:p w:rsidR="004A2442" w:rsidRDefault="004A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03" w:rsidRDefault="009A1B03" w:rsidP="009A1B03">
      <w:pPr>
        <w:spacing w:after="0" w:line="240" w:lineRule="auto"/>
      </w:pPr>
      <w:r>
        <w:separator/>
      </w:r>
    </w:p>
  </w:footnote>
  <w:footnote w:type="continuationSeparator" w:id="0">
    <w:p w:rsidR="009A1B03" w:rsidRDefault="009A1B03" w:rsidP="009A1B03">
      <w:pPr>
        <w:spacing w:after="0" w:line="240" w:lineRule="auto"/>
      </w:pPr>
      <w:r>
        <w:continuationSeparator/>
      </w:r>
    </w:p>
  </w:footnote>
  <w:footnote w:id="1">
    <w:p w:rsidR="009A1B03" w:rsidRDefault="009A1B03" w:rsidP="009A1B03">
      <w:pPr>
        <w:pStyle w:val="FootnoteText"/>
      </w:pPr>
      <w:r>
        <w:rPr>
          <w:rStyle w:val="FootnoteReference"/>
        </w:rPr>
        <w:footnoteRef/>
      </w:r>
      <w:r>
        <w:t xml:space="preserve"> Paragraph 67 – National Planning Policy Framework 2018</w:t>
      </w:r>
    </w:p>
  </w:footnote>
  <w:footnote w:id="2">
    <w:p w:rsidR="009A1B03" w:rsidRDefault="009A1B03" w:rsidP="009A1B03">
      <w:pPr>
        <w:pStyle w:val="FootnoteText"/>
      </w:pPr>
      <w:r>
        <w:rPr>
          <w:rStyle w:val="FootnoteReference"/>
        </w:rPr>
        <w:footnoteRef/>
      </w:r>
      <w:r>
        <w:t xml:space="preserve"> </w:t>
      </w:r>
      <w:r>
        <w:rPr>
          <w:lang w:val="en"/>
        </w:rPr>
        <w:t xml:space="preserve">Paragraph: </w:t>
      </w:r>
      <w:r w:rsidR="00DB187B">
        <w:rPr>
          <w:lang w:val="en"/>
        </w:rPr>
        <w:t xml:space="preserve">001 Ref: </w:t>
      </w:r>
      <w:r w:rsidR="0005777C">
        <w:rPr>
          <w:lang w:val="en"/>
        </w:rPr>
        <w:t xml:space="preserve">ID: </w:t>
      </w:r>
      <w:r w:rsidR="00DB187B">
        <w:rPr>
          <w:lang w:val="en"/>
        </w:rPr>
        <w:t>3-001-20190722</w:t>
      </w:r>
      <w:r>
        <w:rPr>
          <w:lang w:val="en"/>
        </w:rPr>
        <w:t xml:space="preserve"> - Planning Practice Guidance</w:t>
      </w:r>
      <w:r w:rsidR="00DB187B">
        <w:rPr>
          <w:lang w:val="en"/>
        </w:rPr>
        <w:t xml:space="preserve"> </w:t>
      </w:r>
    </w:p>
  </w:footnote>
  <w:footnote w:id="3">
    <w:p w:rsidR="009A1B03" w:rsidRDefault="009A1B03" w:rsidP="009A1B03">
      <w:pPr>
        <w:pStyle w:val="FootnoteText"/>
      </w:pPr>
      <w:r>
        <w:rPr>
          <w:rStyle w:val="FootnoteReference"/>
        </w:rPr>
        <w:footnoteRef/>
      </w:r>
      <w:r>
        <w:t xml:space="preserve"> </w:t>
      </w:r>
      <w:r>
        <w:rPr>
          <w:lang w:val="en"/>
        </w:rPr>
        <w:t xml:space="preserve">Paragraph: 001 </w:t>
      </w:r>
      <w:r w:rsidR="0005777C">
        <w:rPr>
          <w:lang w:val="en"/>
        </w:rPr>
        <w:t>Ref: ID: 3-001-20190722</w:t>
      </w:r>
      <w:r>
        <w:rPr>
          <w:lang w:val="en"/>
        </w:rPr>
        <w:t xml:space="preserve"> - Planning Practice Guidance</w:t>
      </w:r>
    </w:p>
  </w:footnote>
  <w:footnote w:id="4">
    <w:p w:rsidR="009A1B03" w:rsidRDefault="009A1B03" w:rsidP="009A1B03">
      <w:pPr>
        <w:pStyle w:val="FootnoteText"/>
      </w:pPr>
      <w:r>
        <w:rPr>
          <w:rStyle w:val="FootnoteReference"/>
        </w:rPr>
        <w:footnoteRef/>
      </w:r>
      <w:r>
        <w:t xml:space="preserve"> </w:t>
      </w:r>
      <w:r>
        <w:rPr>
          <w:lang w:val="en"/>
        </w:rPr>
        <w:t>Paragraph: 00</w:t>
      </w:r>
      <w:r w:rsidR="006256CE">
        <w:rPr>
          <w:lang w:val="en"/>
        </w:rPr>
        <w:t>5</w:t>
      </w:r>
      <w:r>
        <w:rPr>
          <w:lang w:val="en"/>
        </w:rPr>
        <w:t xml:space="preserve"> Reference ID: 3-00</w:t>
      </w:r>
      <w:r w:rsidR="006256CE">
        <w:rPr>
          <w:lang w:val="en"/>
        </w:rPr>
        <w:t>5-20190722</w:t>
      </w:r>
      <w:r>
        <w:rPr>
          <w:lang w:val="en"/>
        </w:rPr>
        <w:t xml:space="preserve"> – Planning Practice Guidance</w:t>
      </w:r>
    </w:p>
  </w:footnote>
  <w:footnote w:id="5">
    <w:p w:rsidR="009A1B03" w:rsidRDefault="009A1B03" w:rsidP="009A1B03">
      <w:pPr>
        <w:pStyle w:val="FootnoteText"/>
      </w:pPr>
      <w:r>
        <w:rPr>
          <w:rStyle w:val="FootnoteReference"/>
        </w:rPr>
        <w:footnoteRef/>
      </w:r>
      <w:r>
        <w:t xml:space="preserve"> </w:t>
      </w:r>
      <w:r w:rsidR="006256CE">
        <w:rPr>
          <w:lang w:val="en"/>
        </w:rPr>
        <w:t>Paragraph: 009 Reference ID: 3-009-20190722</w:t>
      </w:r>
      <w:r>
        <w:rPr>
          <w:lang w:val="en"/>
        </w:rPr>
        <w:t xml:space="preserve"> – Planning Practice Guidance</w:t>
      </w:r>
    </w:p>
  </w:footnote>
  <w:footnote w:id="6">
    <w:p w:rsidR="009A1B03" w:rsidRDefault="009A1B03" w:rsidP="009A1B03">
      <w:pPr>
        <w:pStyle w:val="FootnoteText"/>
      </w:pPr>
      <w:r>
        <w:rPr>
          <w:rStyle w:val="FootnoteReference"/>
        </w:rPr>
        <w:footnoteRef/>
      </w:r>
      <w:r>
        <w:t xml:space="preserve"> </w:t>
      </w:r>
      <w:r w:rsidR="00DB318C">
        <w:rPr>
          <w:lang w:val="en"/>
        </w:rPr>
        <w:t>Paragraph: 019</w:t>
      </w:r>
      <w:r>
        <w:rPr>
          <w:lang w:val="en"/>
        </w:rPr>
        <w:t xml:space="preserve"> Reference ID: 3-0</w:t>
      </w:r>
      <w:r w:rsidR="00DB318C">
        <w:rPr>
          <w:lang w:val="en"/>
        </w:rPr>
        <w:t>19</w:t>
      </w:r>
      <w:r>
        <w:rPr>
          <w:lang w:val="en"/>
        </w:rPr>
        <w:t>-20</w:t>
      </w:r>
      <w:r w:rsidR="00DB318C">
        <w:rPr>
          <w:lang w:val="en"/>
        </w:rPr>
        <w:t>190722</w:t>
      </w:r>
      <w:r>
        <w:rPr>
          <w:lang w:val="en"/>
        </w:rPr>
        <w:t xml:space="preserve"> – Planning Practice Guidance</w:t>
      </w:r>
    </w:p>
  </w:footnote>
  <w:footnote w:id="7">
    <w:p w:rsidR="009A1B03" w:rsidRDefault="009A1B03" w:rsidP="009A1B03">
      <w:pPr>
        <w:pStyle w:val="FootnoteText"/>
      </w:pPr>
      <w:r>
        <w:rPr>
          <w:rStyle w:val="FootnoteReference"/>
        </w:rPr>
        <w:footnoteRef/>
      </w:r>
      <w:r>
        <w:t xml:space="preserve"> </w:t>
      </w:r>
      <w:r w:rsidR="0027218B">
        <w:rPr>
          <w:lang w:val="en"/>
        </w:rPr>
        <w:t>Paragraph: 020 Reference ID: 3-020-20190722</w:t>
      </w:r>
      <w:r>
        <w:rPr>
          <w:lang w:val="en"/>
        </w:rPr>
        <w:t xml:space="preserve"> – Planning Practice Guidance</w:t>
      </w:r>
    </w:p>
  </w:footnote>
  <w:footnote w:id="8">
    <w:p w:rsidR="009A1B03" w:rsidRDefault="009A1B03" w:rsidP="009A1B03">
      <w:pPr>
        <w:pStyle w:val="FootnoteText"/>
      </w:pPr>
      <w:r>
        <w:rPr>
          <w:rStyle w:val="FootnoteReference"/>
        </w:rPr>
        <w:footnoteRef/>
      </w:r>
      <w:r>
        <w:t xml:space="preserve"> Paragraph 70 – NPPF; </w:t>
      </w:r>
      <w:r>
        <w:rPr>
          <w:lang w:val="en"/>
        </w:rPr>
        <w:t>Paragraph: 2</w:t>
      </w:r>
      <w:r w:rsidR="00B577DD">
        <w:rPr>
          <w:lang w:val="en"/>
        </w:rPr>
        <w:t>3</w:t>
      </w:r>
      <w:r>
        <w:rPr>
          <w:lang w:val="en"/>
        </w:rPr>
        <w:t xml:space="preserve"> Reference ID: 3-</w:t>
      </w:r>
      <w:r w:rsidR="00B577DD">
        <w:rPr>
          <w:lang w:val="en"/>
        </w:rPr>
        <w:t>023</w:t>
      </w:r>
      <w:r>
        <w:rPr>
          <w:lang w:val="en"/>
        </w:rPr>
        <w:t>-201</w:t>
      </w:r>
      <w:r w:rsidR="00B577DD">
        <w:rPr>
          <w:lang w:val="en"/>
        </w:rPr>
        <w:t>90722</w:t>
      </w:r>
      <w:r>
        <w:rPr>
          <w:lang w:val="en"/>
        </w:rPr>
        <w:t xml:space="preserve"> – Planning Practice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102D7"/>
    <w:multiLevelType w:val="multilevel"/>
    <w:tmpl w:val="2BEAF6A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922F73"/>
    <w:multiLevelType w:val="multilevel"/>
    <w:tmpl w:val="06400A30"/>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03"/>
    <w:rsid w:val="0005777C"/>
    <w:rsid w:val="00192605"/>
    <w:rsid w:val="00242A67"/>
    <w:rsid w:val="0027218B"/>
    <w:rsid w:val="002E12D1"/>
    <w:rsid w:val="004A2442"/>
    <w:rsid w:val="004A719A"/>
    <w:rsid w:val="00522AF7"/>
    <w:rsid w:val="00610B24"/>
    <w:rsid w:val="006256CE"/>
    <w:rsid w:val="00636B5C"/>
    <w:rsid w:val="00686729"/>
    <w:rsid w:val="006943CA"/>
    <w:rsid w:val="00695B64"/>
    <w:rsid w:val="00737CFD"/>
    <w:rsid w:val="007A1941"/>
    <w:rsid w:val="007F6A0E"/>
    <w:rsid w:val="00922B5E"/>
    <w:rsid w:val="00946270"/>
    <w:rsid w:val="009A1B03"/>
    <w:rsid w:val="00B577DD"/>
    <w:rsid w:val="00B70B03"/>
    <w:rsid w:val="00D71797"/>
    <w:rsid w:val="00DB187B"/>
    <w:rsid w:val="00DB318C"/>
    <w:rsid w:val="00E61E86"/>
    <w:rsid w:val="00F2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173D-E475-4C0C-B4BE-AF1B97BB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03"/>
    <w:rPr>
      <w:rFonts w:eastAsiaTheme="minorEastAsia"/>
    </w:rPr>
  </w:style>
  <w:style w:type="paragraph" w:styleId="Heading1">
    <w:name w:val="heading 1"/>
    <w:basedOn w:val="Normal"/>
    <w:next w:val="Normal"/>
    <w:link w:val="Heading1Char"/>
    <w:uiPriority w:val="9"/>
    <w:qFormat/>
    <w:rsid w:val="009A1B0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9A1B03"/>
    <w:pPr>
      <w:keepNext/>
      <w:keepLines/>
      <w:spacing w:before="40" w:after="0" w:line="240" w:lineRule="auto"/>
      <w:outlineLvl w:val="1"/>
    </w:pPr>
    <w:rPr>
      <w:rFonts w:ascii="Arial" w:eastAsiaTheme="majorEastAsia" w:hAnsi="Arial" w:cstheme="majorBidi"/>
      <w:color w:val="2E74B5"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B0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1B03"/>
    <w:rPr>
      <w:rFonts w:asciiTheme="majorHAnsi" w:eastAsiaTheme="majorEastAsia" w:hAnsiTheme="majorHAnsi" w:cstheme="majorBidi"/>
      <w:color w:val="2E74B5" w:themeColor="accent1" w:themeShade="BF"/>
      <w:spacing w:val="-10"/>
      <w:sz w:val="52"/>
      <w:szCs w:val="52"/>
    </w:rPr>
  </w:style>
  <w:style w:type="character" w:customStyle="1" w:styleId="Heading1Char">
    <w:name w:val="Heading 1 Char"/>
    <w:basedOn w:val="DefaultParagraphFont"/>
    <w:link w:val="Heading1"/>
    <w:uiPriority w:val="9"/>
    <w:rsid w:val="009A1B03"/>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9A1B03"/>
    <w:rPr>
      <w:rFonts w:ascii="Arial" w:eastAsiaTheme="majorEastAsia" w:hAnsi="Arial" w:cstheme="majorBidi"/>
      <w:color w:val="2E74B5" w:themeColor="accent1" w:themeShade="BF"/>
      <w:sz w:val="26"/>
      <w:szCs w:val="28"/>
    </w:rPr>
  </w:style>
  <w:style w:type="paragraph" w:styleId="TOCHeading">
    <w:name w:val="TOC Heading"/>
    <w:basedOn w:val="Heading1"/>
    <w:next w:val="Normal"/>
    <w:uiPriority w:val="39"/>
    <w:unhideWhenUsed/>
    <w:qFormat/>
    <w:rsid w:val="009A1B03"/>
    <w:pPr>
      <w:outlineLvl w:val="9"/>
    </w:pPr>
  </w:style>
  <w:style w:type="paragraph" w:styleId="ListParagraph">
    <w:name w:val="List Paragraph"/>
    <w:basedOn w:val="Normal"/>
    <w:uiPriority w:val="34"/>
    <w:qFormat/>
    <w:rsid w:val="009A1B03"/>
    <w:pPr>
      <w:ind w:left="720"/>
      <w:contextualSpacing/>
    </w:pPr>
  </w:style>
  <w:style w:type="paragraph" w:styleId="FootnoteText">
    <w:name w:val="footnote text"/>
    <w:basedOn w:val="Normal"/>
    <w:link w:val="FootnoteTextChar"/>
    <w:uiPriority w:val="99"/>
    <w:semiHidden/>
    <w:unhideWhenUsed/>
    <w:rsid w:val="009A1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B03"/>
    <w:rPr>
      <w:rFonts w:eastAsiaTheme="minorEastAsia"/>
      <w:sz w:val="20"/>
      <w:szCs w:val="20"/>
    </w:rPr>
  </w:style>
  <w:style w:type="character" w:styleId="FootnoteReference">
    <w:name w:val="footnote reference"/>
    <w:basedOn w:val="DefaultParagraphFont"/>
    <w:uiPriority w:val="99"/>
    <w:semiHidden/>
    <w:unhideWhenUsed/>
    <w:rsid w:val="009A1B03"/>
    <w:rPr>
      <w:vertAlign w:val="superscript"/>
    </w:rPr>
  </w:style>
  <w:style w:type="character" w:styleId="Hyperlink">
    <w:name w:val="Hyperlink"/>
    <w:basedOn w:val="DefaultParagraphFont"/>
    <w:uiPriority w:val="99"/>
    <w:unhideWhenUsed/>
    <w:rsid w:val="009A1B03"/>
    <w:rPr>
      <w:color w:val="0563C1" w:themeColor="hyperlink"/>
      <w:u w:val="single"/>
    </w:rPr>
  </w:style>
  <w:style w:type="table" w:styleId="TableGrid">
    <w:name w:val="Table Grid"/>
    <w:basedOn w:val="TableNormal"/>
    <w:uiPriority w:val="39"/>
    <w:rsid w:val="009A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A1B03"/>
    <w:pPr>
      <w:spacing w:after="100"/>
    </w:pPr>
  </w:style>
  <w:style w:type="character" w:styleId="CommentReference">
    <w:name w:val="annotation reference"/>
    <w:basedOn w:val="DefaultParagraphFont"/>
    <w:uiPriority w:val="99"/>
    <w:semiHidden/>
    <w:unhideWhenUsed/>
    <w:rsid w:val="004A719A"/>
    <w:rPr>
      <w:sz w:val="16"/>
      <w:szCs w:val="16"/>
    </w:rPr>
  </w:style>
  <w:style w:type="paragraph" w:styleId="CommentText">
    <w:name w:val="annotation text"/>
    <w:basedOn w:val="Normal"/>
    <w:link w:val="CommentTextChar"/>
    <w:uiPriority w:val="99"/>
    <w:semiHidden/>
    <w:unhideWhenUsed/>
    <w:rsid w:val="004A719A"/>
    <w:pPr>
      <w:spacing w:line="240" w:lineRule="auto"/>
    </w:pPr>
    <w:rPr>
      <w:sz w:val="20"/>
      <w:szCs w:val="20"/>
    </w:rPr>
  </w:style>
  <w:style w:type="character" w:customStyle="1" w:styleId="CommentTextChar">
    <w:name w:val="Comment Text Char"/>
    <w:basedOn w:val="DefaultParagraphFont"/>
    <w:link w:val="CommentText"/>
    <w:uiPriority w:val="99"/>
    <w:semiHidden/>
    <w:rsid w:val="004A71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719A"/>
    <w:rPr>
      <w:b/>
      <w:bCs/>
    </w:rPr>
  </w:style>
  <w:style w:type="character" w:customStyle="1" w:styleId="CommentSubjectChar">
    <w:name w:val="Comment Subject Char"/>
    <w:basedOn w:val="CommentTextChar"/>
    <w:link w:val="CommentSubject"/>
    <w:uiPriority w:val="99"/>
    <w:semiHidden/>
    <w:rsid w:val="004A719A"/>
    <w:rPr>
      <w:rFonts w:eastAsiaTheme="minorEastAsia"/>
      <w:b/>
      <w:bCs/>
      <w:sz w:val="20"/>
      <w:szCs w:val="20"/>
    </w:rPr>
  </w:style>
  <w:style w:type="paragraph" w:styleId="BalloonText">
    <w:name w:val="Balloon Text"/>
    <w:basedOn w:val="Normal"/>
    <w:link w:val="BalloonTextChar"/>
    <w:uiPriority w:val="99"/>
    <w:semiHidden/>
    <w:unhideWhenUsed/>
    <w:rsid w:val="004A7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9A"/>
    <w:rPr>
      <w:rFonts w:ascii="Segoe UI" w:eastAsiaTheme="minorEastAsia" w:hAnsi="Segoe UI" w:cs="Segoe UI"/>
      <w:sz w:val="18"/>
      <w:szCs w:val="18"/>
    </w:rPr>
  </w:style>
  <w:style w:type="paragraph" w:styleId="Header">
    <w:name w:val="header"/>
    <w:basedOn w:val="Normal"/>
    <w:link w:val="HeaderChar"/>
    <w:uiPriority w:val="99"/>
    <w:unhideWhenUsed/>
    <w:rsid w:val="004A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442"/>
    <w:rPr>
      <w:rFonts w:eastAsiaTheme="minorEastAsia"/>
    </w:rPr>
  </w:style>
  <w:style w:type="paragraph" w:styleId="Footer">
    <w:name w:val="footer"/>
    <w:basedOn w:val="Normal"/>
    <w:link w:val="FooterChar"/>
    <w:uiPriority w:val="99"/>
    <w:unhideWhenUsed/>
    <w:rsid w:val="004A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4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ntral-lincs.org.uk" TargetMode="External"/><Relationship Id="rId4" Type="http://schemas.openxmlformats.org/officeDocument/2006/relationships/webSettings" Target="webSettings.xml"/><Relationship Id="rId9" Type="http://schemas.openxmlformats.org/officeDocument/2006/relationships/hyperlink" Target="http://www.central-lin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13</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 Kesteven District Council</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Marwood</dc:creator>
  <cp:keywords/>
  <dc:description/>
  <cp:lastModifiedBy>Abbie Marwood</cp:lastModifiedBy>
  <cp:revision>17</cp:revision>
  <cp:lastPrinted>2020-03-11T11:11:00Z</cp:lastPrinted>
  <dcterms:created xsi:type="dcterms:W3CDTF">2020-03-04T13:58:00Z</dcterms:created>
  <dcterms:modified xsi:type="dcterms:W3CDTF">2020-06-03T14:40:00Z</dcterms:modified>
</cp:coreProperties>
</file>